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7774D" w:rsidP="00E50DBE">
            <w:pPr>
              <w:rPr>
                <w:b/>
              </w:rPr>
            </w:pPr>
            <w:r>
              <w:rPr>
                <w:b/>
              </w:rPr>
              <w:t>17 March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202B5" w:rsidP="004A6D2F">
            <w:pPr>
              <w:rPr>
                <w:rStyle w:val="Firstpagetablebold"/>
              </w:rPr>
            </w:pPr>
            <w:r>
              <w:rPr>
                <w:rStyle w:val="Firstpagetablebold"/>
              </w:rPr>
              <w:t>Regeneration and Major Projects Service Manager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202B5" w:rsidP="004A6D2F">
            <w:pPr>
              <w:rPr>
                <w:rStyle w:val="Firstpagetablebold"/>
              </w:rPr>
            </w:pPr>
            <w:r>
              <w:rPr>
                <w:rStyle w:val="Firstpagetablebold"/>
              </w:rPr>
              <w:t>Asset Management Plan 2016-2020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Default="0045509D" w:rsidP="0045509D">
            <w:pPr>
              <w:spacing w:after="0"/>
              <w:rPr>
                <w:color w:val="auto"/>
                <w:lang w:eastAsia="en-US"/>
              </w:rPr>
            </w:pPr>
            <w:r>
              <w:rPr>
                <w:color w:val="auto"/>
                <w:lang w:eastAsia="en-US"/>
              </w:rPr>
              <w:t xml:space="preserve">To </w:t>
            </w:r>
            <w:r w:rsidR="008932DD">
              <w:rPr>
                <w:color w:val="auto"/>
                <w:lang w:eastAsia="en-US"/>
              </w:rPr>
              <w:t>a</w:t>
            </w:r>
            <w:r w:rsidRPr="0045509D">
              <w:rPr>
                <w:color w:val="auto"/>
                <w:lang w:eastAsia="en-US"/>
              </w:rPr>
              <w:t xml:space="preserve">pprove the Asset Management Plan </w:t>
            </w:r>
            <w:r w:rsidR="00D73680">
              <w:rPr>
                <w:color w:val="auto"/>
                <w:lang w:eastAsia="en-US"/>
              </w:rPr>
              <w:t xml:space="preserve">2016-20 </w:t>
            </w:r>
            <w:r w:rsidR="008932DD">
              <w:rPr>
                <w:color w:val="auto"/>
                <w:lang w:eastAsia="en-US"/>
              </w:rPr>
              <w:t>and recommend</w:t>
            </w:r>
            <w:r w:rsidR="00414D95">
              <w:rPr>
                <w:color w:val="auto"/>
                <w:lang w:eastAsia="en-US"/>
              </w:rPr>
              <w:t xml:space="preserve"> its</w:t>
            </w:r>
            <w:r w:rsidR="00D73680">
              <w:rPr>
                <w:color w:val="auto"/>
                <w:lang w:eastAsia="en-US"/>
              </w:rPr>
              <w:t xml:space="preserve"> adoption by Council </w:t>
            </w:r>
            <w:r w:rsidR="00690CB9">
              <w:rPr>
                <w:color w:val="auto"/>
                <w:lang w:eastAsia="en-US"/>
              </w:rPr>
              <w:t>thereby</w:t>
            </w:r>
            <w:r w:rsidR="00D73680">
              <w:rPr>
                <w:color w:val="auto"/>
                <w:lang w:eastAsia="en-US"/>
              </w:rPr>
              <w:t xml:space="preserve"> provid</w:t>
            </w:r>
            <w:r w:rsidR="00690CB9">
              <w:rPr>
                <w:color w:val="auto"/>
                <w:lang w:eastAsia="en-US"/>
              </w:rPr>
              <w:t xml:space="preserve">ing the </w:t>
            </w:r>
            <w:r w:rsidR="00D73680">
              <w:rPr>
                <w:color w:val="auto"/>
                <w:lang w:eastAsia="en-US"/>
              </w:rPr>
              <w:t>basis for the management of the Council</w:t>
            </w:r>
            <w:r w:rsidR="001312A0">
              <w:rPr>
                <w:color w:val="auto"/>
                <w:lang w:eastAsia="en-US"/>
              </w:rPr>
              <w:t>’</w:t>
            </w:r>
            <w:r w:rsidR="00D73680">
              <w:rPr>
                <w:color w:val="auto"/>
                <w:lang w:eastAsia="en-US"/>
              </w:rPr>
              <w:t>s property assets</w:t>
            </w:r>
            <w:r w:rsidR="00690CB9">
              <w:rPr>
                <w:color w:val="auto"/>
                <w:lang w:eastAsia="en-US"/>
              </w:rPr>
              <w:t xml:space="preserve"> going forward</w:t>
            </w:r>
            <w:r w:rsidR="00D73680">
              <w:rPr>
                <w:color w:val="auto"/>
                <w:lang w:eastAsia="en-US"/>
              </w:rPr>
              <w:t>.</w:t>
            </w:r>
          </w:p>
          <w:p w:rsidR="0045509D" w:rsidRPr="0045509D" w:rsidRDefault="0045509D" w:rsidP="0045509D">
            <w:pPr>
              <w:spacing w:after="0"/>
              <w:rPr>
                <w:color w:val="auto"/>
                <w:lang w:eastAsia="en-US"/>
              </w:rPr>
            </w:pP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45509D">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5509D">
            <w:r w:rsidRPr="001356F1">
              <w:t xml:space="preserve">Councillor </w:t>
            </w:r>
            <w:r w:rsidR="0045509D">
              <w:t>Ed Turner Portfolio Holder for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83B9C" w:rsidP="005F7F7E">
            <w:r>
              <w:t>An Efficient and Effective Council</w:t>
            </w:r>
          </w:p>
        </w:tc>
      </w:tr>
      <w:tr w:rsidR="00D5547E" w:rsidTr="00D73680">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tcPr>
          <w:p w:rsidR="00D5547E" w:rsidRPr="001356F1" w:rsidRDefault="00D73680" w:rsidP="00283B9C">
            <w:r>
              <w:t xml:space="preserve">The ‘Asset Management Plan’ is a Policy Framework document and additionally has links to other Policy Framework documents including </w:t>
            </w:r>
            <w:r w:rsidR="00283B9C">
              <w:t xml:space="preserve">the </w:t>
            </w:r>
            <w:r>
              <w:t>Corporate Plan, Sustainability Strategy, Leisure Policy, Housing and Homelessness Strategy</w:t>
            </w:r>
            <w:r w:rsidR="00283B9C">
              <w:t>,</w:t>
            </w:r>
            <w:r>
              <w:t xml:space="preserve"> the Economic Development and Growth Strategy</w:t>
            </w:r>
            <w:r w:rsidR="00283B9C">
              <w:t xml:space="preserve"> and Medium Term Financial Plan.</w:t>
            </w:r>
            <w:r>
              <w:t xml:space="preserve"> </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D73680" w:rsidRDefault="00D73680" w:rsidP="004A6D2F"/>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D73680" w:rsidRDefault="00D73680" w:rsidP="002069B3"/>
          <w:p w:rsidR="0030208D" w:rsidRPr="001356F1" w:rsidRDefault="00D73680" w:rsidP="002069B3">
            <w:r>
              <w:t xml:space="preserve">Approve the Asset Management Plan 2016-2020 </w:t>
            </w:r>
            <w:r w:rsidR="00283B9C">
              <w:t xml:space="preserve">attached at Appendix 1 </w:t>
            </w:r>
            <w:r>
              <w:t>for adoption by the Council</w:t>
            </w:r>
            <w:r w:rsidR="00283B9C">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F634E0">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055032" w:rsidRPr="001356F1" w:rsidRDefault="0027774D" w:rsidP="004A6D2F">
            <w:r>
              <w:t>Asset Management Plan 2016-20</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055032" w:rsidP="004A6D2F">
            <w:r>
              <w:t>Appendix 2</w:t>
            </w:r>
          </w:p>
        </w:tc>
        <w:tc>
          <w:tcPr>
            <w:tcW w:w="6406" w:type="dxa"/>
            <w:tcBorders>
              <w:top w:val="nil"/>
              <w:left w:val="nil"/>
              <w:bottom w:val="nil"/>
              <w:right w:val="single" w:sz="8" w:space="0" w:color="000000"/>
            </w:tcBorders>
          </w:tcPr>
          <w:p w:rsidR="00ED5860" w:rsidRPr="001356F1" w:rsidRDefault="00055032" w:rsidP="004A6D2F">
            <w:r>
              <w:t>Asset Management Plan on a Page</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950BD8" w:rsidRDefault="00950BD8" w:rsidP="00F9325D">
      <w:pPr>
        <w:pStyle w:val="ListParagraph"/>
        <w:numPr>
          <w:ilvl w:val="0"/>
          <w:numId w:val="41"/>
        </w:numPr>
        <w:ind w:left="426" w:hanging="426"/>
      </w:pPr>
      <w:r>
        <w:t xml:space="preserve">The Draft Asset Management Plan 2016-2020 was approved </w:t>
      </w:r>
      <w:r w:rsidR="00243C81">
        <w:t xml:space="preserve">for consultation </w:t>
      </w:r>
      <w:r>
        <w:t>by CEB on 17 December 20</w:t>
      </w:r>
      <w:r w:rsidR="00D233C8">
        <w:t>15</w:t>
      </w:r>
      <w:r w:rsidR="0036060D">
        <w:t xml:space="preserve"> subject to </w:t>
      </w:r>
      <w:r w:rsidR="00D36262">
        <w:t xml:space="preserve">it being </w:t>
      </w:r>
      <w:r w:rsidR="0036060D">
        <w:t>amend</w:t>
      </w:r>
      <w:r w:rsidR="00D36262">
        <w:t>ed</w:t>
      </w:r>
      <w:r w:rsidR="0036060D">
        <w:t xml:space="preserve"> to incorporate the respon</w:t>
      </w:r>
      <w:r w:rsidR="00D50956">
        <w:t>ses to Scrutiny recommendations</w:t>
      </w:r>
      <w:r w:rsidR="00243C81">
        <w:t>.</w:t>
      </w:r>
    </w:p>
    <w:p w:rsidR="00EF6FA4" w:rsidRDefault="0036060D" w:rsidP="00F9325D">
      <w:pPr>
        <w:pStyle w:val="ListParagraph"/>
        <w:numPr>
          <w:ilvl w:val="0"/>
          <w:numId w:val="41"/>
        </w:numPr>
        <w:ind w:left="426" w:hanging="426"/>
      </w:pPr>
      <w:r>
        <w:lastRenderedPageBreak/>
        <w:t xml:space="preserve">The </w:t>
      </w:r>
      <w:r w:rsidR="00EE1570">
        <w:t xml:space="preserve">amended </w:t>
      </w:r>
      <w:r>
        <w:t xml:space="preserve">document has since been subject </w:t>
      </w:r>
      <w:r w:rsidR="00EE1570">
        <w:t>to</w:t>
      </w:r>
      <w:r>
        <w:t xml:space="preserve"> Public Consultation from 19 December 2015 to 22 January 2016 and consideration has been given to the responses received</w:t>
      </w:r>
      <w:r w:rsidR="00203288">
        <w:t>, t</w:t>
      </w:r>
      <w:r w:rsidR="00EE1570">
        <w:t>hese are</w:t>
      </w:r>
      <w:r>
        <w:t xml:space="preserve"> </w:t>
      </w:r>
      <w:r w:rsidR="00610BD6">
        <w:t>shown in Appendix 2</w:t>
      </w:r>
      <w:r w:rsidR="00203288">
        <w:t>.</w:t>
      </w:r>
    </w:p>
    <w:p w:rsidR="00E87F7A" w:rsidRDefault="003B5DA8" w:rsidP="00F9325D">
      <w:pPr>
        <w:pStyle w:val="ListParagraph"/>
        <w:numPr>
          <w:ilvl w:val="0"/>
          <w:numId w:val="0"/>
        </w:numPr>
        <w:ind w:left="426" w:hanging="426"/>
      </w:pPr>
      <w:r>
        <w:t>3.</w:t>
      </w:r>
      <w:r>
        <w:tab/>
      </w:r>
      <w:r w:rsidR="00EF6FA4">
        <w:t xml:space="preserve">The </w:t>
      </w:r>
      <w:r w:rsidR="00EE1570">
        <w:t xml:space="preserve">proposed </w:t>
      </w:r>
      <w:r w:rsidR="00954182">
        <w:t>Asset Management Plan</w:t>
      </w:r>
      <w:r w:rsidR="00B036B5">
        <w:t>,</w:t>
      </w:r>
      <w:r w:rsidR="00EF6FA4">
        <w:t xml:space="preserve"> attached as Appendix 1</w:t>
      </w:r>
      <w:r w:rsidR="00B036B5">
        <w:t>,</w:t>
      </w:r>
      <w:r w:rsidR="00EF6FA4">
        <w:t xml:space="preserve"> is now </w:t>
      </w:r>
      <w:r w:rsidR="00954182">
        <w:t xml:space="preserve">recommended </w:t>
      </w:r>
      <w:r w:rsidR="00EF6FA4">
        <w:t>to</w:t>
      </w:r>
      <w:r w:rsidR="00954182">
        <w:t xml:space="preserve"> the </w:t>
      </w:r>
      <w:r w:rsidR="00EF6FA4">
        <w:t>C</w:t>
      </w:r>
      <w:r w:rsidR="00954182">
        <w:t xml:space="preserve">ity </w:t>
      </w:r>
      <w:r w:rsidR="00EF6FA4">
        <w:t>E</w:t>
      </w:r>
      <w:r w:rsidR="00954182">
        <w:t xml:space="preserve">xecutive </w:t>
      </w:r>
      <w:r w:rsidR="00EF6FA4">
        <w:t>B</w:t>
      </w:r>
      <w:r w:rsidR="00954182">
        <w:t xml:space="preserve">oard </w:t>
      </w:r>
      <w:r w:rsidR="00EF6FA4">
        <w:t xml:space="preserve">for approval </w:t>
      </w:r>
      <w:r w:rsidR="00954182">
        <w:t xml:space="preserve">and </w:t>
      </w:r>
      <w:r w:rsidR="00EF6FA4">
        <w:t>adoption by Council.</w:t>
      </w:r>
    </w:p>
    <w:p w:rsidR="00D50956" w:rsidRPr="00EB2148" w:rsidRDefault="003B5DA8" w:rsidP="004560C4">
      <w:pPr>
        <w:spacing w:after="0"/>
        <w:ind w:left="426" w:hanging="426"/>
        <w:rPr>
          <w:rFonts w:cs="Arial"/>
          <w:color w:val="auto"/>
          <w:lang w:eastAsia="en-US"/>
        </w:rPr>
      </w:pPr>
      <w:r>
        <w:t>4.</w:t>
      </w:r>
      <w:r>
        <w:tab/>
      </w:r>
      <w:r w:rsidR="004560C4">
        <w:t>The main purpose of the plan is to set out the Councils objectives, priorities, programme, performance and risks in relation to its land and buildings.</w:t>
      </w:r>
    </w:p>
    <w:p w:rsidR="004560C4" w:rsidRDefault="00D50956" w:rsidP="00D50956">
      <w:pPr>
        <w:keepNext/>
        <w:spacing w:after="0"/>
        <w:ind w:left="720"/>
        <w:rPr>
          <w:rFonts w:cs="Arial"/>
          <w:color w:val="auto"/>
          <w:lang w:eastAsia="en-US"/>
        </w:rPr>
      </w:pPr>
      <w:r w:rsidRPr="00EB2148">
        <w:rPr>
          <w:rFonts w:cs="Arial"/>
          <w:color w:val="auto"/>
          <w:lang w:eastAsia="en-US"/>
        </w:rPr>
        <w:t xml:space="preserve"> </w:t>
      </w:r>
    </w:p>
    <w:p w:rsidR="00D50956" w:rsidRPr="00EB2148" w:rsidRDefault="00D50956" w:rsidP="00D50956">
      <w:pPr>
        <w:keepNext/>
        <w:spacing w:after="0"/>
        <w:ind w:left="720"/>
        <w:rPr>
          <w:rFonts w:cs="Arial"/>
          <w:color w:val="auto"/>
          <w:lang w:eastAsia="en-US"/>
        </w:rPr>
      </w:pPr>
      <w:r w:rsidRPr="00EB2148">
        <w:rPr>
          <w:rFonts w:cs="Arial"/>
          <w:color w:val="auto"/>
          <w:lang w:eastAsia="en-US"/>
        </w:rPr>
        <w:t>It also:</w:t>
      </w:r>
    </w:p>
    <w:p w:rsidR="00D50956" w:rsidRPr="00EB2148" w:rsidRDefault="00D50956" w:rsidP="00D50956">
      <w:pPr>
        <w:keepNext/>
        <w:spacing w:after="0"/>
        <w:rPr>
          <w:rFonts w:cs="Arial"/>
          <w:color w:val="auto"/>
          <w:lang w:eastAsia="en-US"/>
        </w:rPr>
      </w:pPr>
    </w:p>
    <w:p w:rsidR="00D50956" w:rsidRPr="00EB2148" w:rsidRDefault="00D50956" w:rsidP="00F9325D">
      <w:pPr>
        <w:numPr>
          <w:ilvl w:val="0"/>
          <w:numId w:val="37"/>
        </w:numPr>
        <w:tabs>
          <w:tab w:val="clear" w:pos="1080"/>
          <w:tab w:val="num" w:pos="1276"/>
        </w:tabs>
        <w:spacing w:after="0"/>
        <w:ind w:left="1276" w:hanging="425"/>
        <w:rPr>
          <w:rFonts w:cs="Arial"/>
          <w:color w:val="auto"/>
          <w:lang w:eastAsia="en-US"/>
        </w:rPr>
      </w:pPr>
      <w:r w:rsidRPr="00EB2148">
        <w:rPr>
          <w:rFonts w:cs="Arial"/>
          <w:color w:val="auto"/>
          <w:lang w:eastAsia="en-US"/>
        </w:rPr>
        <w:t>provides a clear statement of direction for other external stakeholders;</w:t>
      </w:r>
      <w:r w:rsidR="00714303">
        <w:rPr>
          <w:rFonts w:cs="Arial"/>
          <w:color w:val="auto"/>
          <w:lang w:eastAsia="en-US"/>
        </w:rPr>
        <w:t xml:space="preserve"> and</w:t>
      </w:r>
    </w:p>
    <w:p w:rsidR="004560C4" w:rsidRPr="004560C4" w:rsidRDefault="00D50956" w:rsidP="004560C4">
      <w:pPr>
        <w:numPr>
          <w:ilvl w:val="0"/>
          <w:numId w:val="37"/>
        </w:numPr>
        <w:tabs>
          <w:tab w:val="clear" w:pos="1080"/>
          <w:tab w:val="num" w:pos="1276"/>
        </w:tabs>
        <w:spacing w:after="0"/>
        <w:ind w:left="1276" w:hanging="425"/>
        <w:jc w:val="both"/>
        <w:rPr>
          <w:rFonts w:eastAsia="Calibri" w:cs="Arial"/>
          <w:color w:val="auto"/>
          <w:lang w:eastAsia="en-US"/>
        </w:rPr>
      </w:pPr>
      <w:proofErr w:type="gramStart"/>
      <w:r w:rsidRPr="004560C4">
        <w:rPr>
          <w:rFonts w:cs="Arial"/>
          <w:color w:val="auto"/>
          <w:lang w:eastAsia="en-US"/>
        </w:rPr>
        <w:t>identifies</w:t>
      </w:r>
      <w:proofErr w:type="gramEnd"/>
      <w:r w:rsidRPr="004560C4">
        <w:rPr>
          <w:rFonts w:cs="Arial"/>
          <w:color w:val="auto"/>
          <w:lang w:eastAsia="en-US"/>
        </w:rPr>
        <w:t xml:space="preserve"> to the public the way the Council will deal with its land and </w:t>
      </w:r>
      <w:r w:rsidR="004560C4">
        <w:rPr>
          <w:rFonts w:cs="Arial"/>
          <w:color w:val="auto"/>
          <w:lang w:eastAsia="en-US"/>
        </w:rPr>
        <w:t xml:space="preserve"> </w:t>
      </w:r>
      <w:r w:rsidRPr="004560C4">
        <w:rPr>
          <w:rFonts w:cs="Arial"/>
          <w:color w:val="auto"/>
          <w:lang w:eastAsia="en-US"/>
        </w:rPr>
        <w:t xml:space="preserve">buildings in the short and medium term. </w:t>
      </w:r>
    </w:p>
    <w:p w:rsidR="004560C4" w:rsidRDefault="004560C4" w:rsidP="004560C4">
      <w:pPr>
        <w:spacing w:after="0"/>
        <w:ind w:left="1080"/>
        <w:jc w:val="both"/>
        <w:rPr>
          <w:rFonts w:cs="Arial"/>
          <w:color w:val="auto"/>
          <w:lang w:eastAsia="en-US"/>
        </w:rPr>
      </w:pPr>
    </w:p>
    <w:p w:rsidR="00D50956" w:rsidRPr="00EB2148" w:rsidRDefault="004560C4" w:rsidP="004560C4">
      <w:pPr>
        <w:spacing w:after="0"/>
        <w:ind w:left="426" w:hanging="426"/>
        <w:jc w:val="both"/>
        <w:rPr>
          <w:rFonts w:eastAsia="Calibri" w:cs="Arial"/>
          <w:color w:val="auto"/>
          <w:lang w:eastAsia="en-US"/>
        </w:rPr>
      </w:pPr>
      <w:r>
        <w:rPr>
          <w:rFonts w:eastAsia="Calibri" w:cs="Arial"/>
          <w:color w:val="auto"/>
          <w:lang w:eastAsia="en-US"/>
        </w:rPr>
        <w:t>5.</w:t>
      </w:r>
      <w:r>
        <w:rPr>
          <w:rFonts w:eastAsia="Calibri" w:cs="Arial"/>
          <w:color w:val="auto"/>
          <w:lang w:eastAsia="en-US"/>
        </w:rPr>
        <w:tab/>
        <w:t>T</w:t>
      </w:r>
      <w:r w:rsidR="00D50956" w:rsidRPr="00EB2148">
        <w:rPr>
          <w:rFonts w:eastAsia="Calibri" w:cs="Arial"/>
          <w:color w:val="auto"/>
          <w:lang w:eastAsia="en-US"/>
        </w:rPr>
        <w:t>he Plan has been developed through extensive consultation with Members, Service Heads</w:t>
      </w:r>
      <w:r w:rsidR="00D3715D">
        <w:rPr>
          <w:rFonts w:eastAsia="Calibri" w:cs="Arial"/>
          <w:color w:val="auto"/>
          <w:lang w:eastAsia="en-US"/>
        </w:rPr>
        <w:t>,</w:t>
      </w:r>
      <w:r w:rsidR="00D50956" w:rsidRPr="00EB2148">
        <w:rPr>
          <w:rFonts w:eastAsia="Calibri" w:cs="Arial"/>
          <w:color w:val="auto"/>
          <w:lang w:eastAsia="en-US"/>
        </w:rPr>
        <w:t xml:space="preserve"> Senior Council Managers </w:t>
      </w:r>
      <w:r w:rsidR="00D3715D">
        <w:rPr>
          <w:rFonts w:eastAsia="Calibri" w:cs="Arial"/>
          <w:color w:val="auto"/>
          <w:lang w:eastAsia="en-US"/>
        </w:rPr>
        <w:t>and latter</w:t>
      </w:r>
      <w:r w:rsidR="0086188A">
        <w:rPr>
          <w:rFonts w:eastAsia="Calibri" w:cs="Arial"/>
          <w:color w:val="auto"/>
          <w:lang w:eastAsia="en-US"/>
        </w:rPr>
        <w:t>l</w:t>
      </w:r>
      <w:r w:rsidR="00D3715D">
        <w:rPr>
          <w:rFonts w:eastAsia="Calibri" w:cs="Arial"/>
          <w:color w:val="auto"/>
          <w:lang w:eastAsia="en-US"/>
        </w:rPr>
        <w:t>y the public</w:t>
      </w:r>
      <w:r w:rsidR="00D14F38">
        <w:rPr>
          <w:rFonts w:eastAsia="Calibri" w:cs="Arial"/>
          <w:color w:val="auto"/>
          <w:lang w:eastAsia="en-US"/>
        </w:rPr>
        <w:t xml:space="preserve"> </w:t>
      </w:r>
      <w:r w:rsidR="00D50956" w:rsidRPr="00EB2148">
        <w:rPr>
          <w:rFonts w:eastAsia="Calibri" w:cs="Arial"/>
          <w:color w:val="auto"/>
          <w:lang w:eastAsia="en-US"/>
        </w:rPr>
        <w:t>alongside a review of market, economic and budgetary impacts on Oxford.</w:t>
      </w:r>
    </w:p>
    <w:p w:rsidR="00D50956" w:rsidRPr="00EB2148" w:rsidRDefault="00D50956" w:rsidP="00D50956">
      <w:pPr>
        <w:spacing w:after="0"/>
        <w:jc w:val="both"/>
        <w:rPr>
          <w:rFonts w:eastAsia="Calibri" w:cs="Arial"/>
          <w:color w:val="auto"/>
          <w:lang w:eastAsia="en-US"/>
        </w:rPr>
      </w:pPr>
    </w:p>
    <w:p w:rsidR="00D50956" w:rsidRPr="00EB2148" w:rsidRDefault="004560C4" w:rsidP="004560C4">
      <w:pPr>
        <w:spacing w:after="0"/>
        <w:ind w:left="426" w:hanging="426"/>
        <w:jc w:val="both"/>
        <w:rPr>
          <w:rFonts w:eastAsia="Calibri" w:cs="Arial"/>
          <w:color w:val="auto"/>
          <w:lang w:eastAsia="en-US"/>
        </w:rPr>
      </w:pPr>
      <w:r>
        <w:rPr>
          <w:rFonts w:eastAsia="Calibri" w:cs="Arial"/>
          <w:color w:val="auto"/>
          <w:lang w:eastAsia="en-US"/>
        </w:rPr>
        <w:t>6.</w:t>
      </w:r>
      <w:r w:rsidR="00136FCC">
        <w:rPr>
          <w:rFonts w:eastAsia="Calibri" w:cs="Arial"/>
          <w:color w:val="auto"/>
          <w:lang w:eastAsia="en-US"/>
        </w:rPr>
        <w:tab/>
      </w:r>
      <w:r w:rsidR="00D50956" w:rsidRPr="00EB2148">
        <w:rPr>
          <w:rFonts w:eastAsia="Calibri" w:cs="Arial"/>
          <w:color w:val="auto"/>
          <w:lang w:eastAsia="en-US"/>
        </w:rPr>
        <w:t xml:space="preserve">Consideration has been given not just to how the Council can manage its property assets but how these can be used to influence the wider environment and economy for the benefit of all the citizens of the City. </w:t>
      </w:r>
    </w:p>
    <w:p w:rsidR="00D50956" w:rsidRPr="00EB2148" w:rsidRDefault="00D50956" w:rsidP="00D50956">
      <w:pPr>
        <w:spacing w:after="0"/>
        <w:ind w:left="709" w:hanging="709"/>
        <w:jc w:val="both"/>
        <w:rPr>
          <w:rFonts w:eastAsia="Calibri" w:cs="Arial"/>
          <w:color w:val="auto"/>
          <w:lang w:eastAsia="en-US"/>
        </w:rPr>
      </w:pPr>
    </w:p>
    <w:p w:rsidR="00D50956" w:rsidRPr="00EB2148" w:rsidRDefault="00342C47" w:rsidP="00342C47">
      <w:pPr>
        <w:spacing w:after="0"/>
        <w:ind w:left="426" w:hanging="426"/>
        <w:jc w:val="both"/>
        <w:rPr>
          <w:rFonts w:eastAsia="Calibri" w:cs="Arial"/>
          <w:color w:val="auto"/>
          <w:lang w:eastAsia="en-US"/>
        </w:rPr>
      </w:pPr>
      <w:r>
        <w:rPr>
          <w:rFonts w:eastAsia="Calibri" w:cs="Arial"/>
          <w:color w:val="auto"/>
          <w:lang w:eastAsia="en-US"/>
        </w:rPr>
        <w:t>7.</w:t>
      </w:r>
      <w:r w:rsidR="00136FCC">
        <w:rPr>
          <w:rFonts w:eastAsia="Calibri" w:cs="Arial"/>
          <w:color w:val="auto"/>
          <w:lang w:eastAsia="en-US"/>
        </w:rPr>
        <w:tab/>
      </w:r>
      <w:r w:rsidR="00D50956" w:rsidRPr="00EB2148">
        <w:rPr>
          <w:rFonts w:eastAsia="Calibri" w:cs="Arial"/>
          <w:color w:val="auto"/>
          <w:lang w:eastAsia="en-US"/>
        </w:rPr>
        <w:t>Key points of note compared to previous plans include:</w:t>
      </w:r>
    </w:p>
    <w:p w:rsidR="00D50956" w:rsidRPr="00EB2148" w:rsidRDefault="00D50956" w:rsidP="00D50956">
      <w:pPr>
        <w:spacing w:after="0"/>
        <w:ind w:left="709" w:hanging="709"/>
        <w:jc w:val="both"/>
        <w:rPr>
          <w:rFonts w:eastAsia="Calibri" w:cs="Arial"/>
          <w:color w:val="auto"/>
          <w:lang w:eastAsia="en-US"/>
        </w:rPr>
      </w:pPr>
    </w:p>
    <w:p w:rsidR="00D50956" w:rsidRPr="00EB2148" w:rsidRDefault="00D50956" w:rsidP="00342C47">
      <w:pPr>
        <w:numPr>
          <w:ilvl w:val="0"/>
          <w:numId w:val="39"/>
        </w:numPr>
        <w:spacing w:after="0"/>
        <w:ind w:left="1276" w:hanging="425"/>
        <w:jc w:val="both"/>
        <w:rPr>
          <w:rFonts w:eastAsia="Calibri" w:cs="Arial"/>
          <w:color w:val="auto"/>
          <w:lang w:eastAsia="en-US"/>
        </w:rPr>
      </w:pPr>
      <w:r w:rsidRPr="00EB2148">
        <w:rPr>
          <w:rFonts w:eastAsia="Calibri" w:cs="Arial"/>
          <w:color w:val="auto"/>
          <w:lang w:eastAsia="en-US"/>
        </w:rPr>
        <w:t>A focus on the General Fund portfolio only;</w:t>
      </w:r>
    </w:p>
    <w:p w:rsidR="00D50956" w:rsidRPr="00EB2148" w:rsidRDefault="00D50956" w:rsidP="00342C47">
      <w:pPr>
        <w:numPr>
          <w:ilvl w:val="1"/>
          <w:numId w:val="40"/>
        </w:numPr>
        <w:tabs>
          <w:tab w:val="clear" w:pos="1440"/>
          <w:tab w:val="num" w:pos="634"/>
          <w:tab w:val="num" w:pos="1276"/>
        </w:tabs>
        <w:spacing w:after="0"/>
        <w:ind w:left="1276" w:hanging="425"/>
        <w:contextualSpacing/>
        <w:rPr>
          <w:rFonts w:cs="Arial"/>
          <w:color w:val="auto"/>
        </w:rPr>
      </w:pPr>
      <w:r w:rsidRPr="00EB2148">
        <w:rPr>
          <w:rFonts w:cs="Arial"/>
          <w:kern w:val="24"/>
        </w:rPr>
        <w:t>Incremental development rather than radical change;</w:t>
      </w:r>
    </w:p>
    <w:p w:rsidR="00D50956" w:rsidRPr="00EB2148" w:rsidRDefault="00D50956" w:rsidP="00342C47">
      <w:pPr>
        <w:numPr>
          <w:ilvl w:val="1"/>
          <w:numId w:val="40"/>
        </w:numPr>
        <w:tabs>
          <w:tab w:val="clear" w:pos="1440"/>
          <w:tab w:val="num" w:pos="1276"/>
        </w:tabs>
        <w:spacing w:after="0"/>
        <w:ind w:left="1276" w:hanging="425"/>
        <w:contextualSpacing/>
        <w:rPr>
          <w:rFonts w:cs="Arial"/>
          <w:color w:val="auto"/>
        </w:rPr>
      </w:pPr>
      <w:r w:rsidRPr="00EB2148">
        <w:rPr>
          <w:rFonts w:cs="Arial"/>
          <w:kern w:val="24"/>
        </w:rPr>
        <w:t>Re</w:t>
      </w:r>
      <w:r w:rsidR="00AC049F">
        <w:rPr>
          <w:rFonts w:cs="Arial"/>
          <w:kern w:val="24"/>
        </w:rPr>
        <w:t>flects</w:t>
      </w:r>
      <w:r w:rsidRPr="00EB2148">
        <w:rPr>
          <w:rFonts w:cs="Arial"/>
          <w:kern w:val="24"/>
        </w:rPr>
        <w:t xml:space="preserve"> change occurring in the city e.g. Westgate, Infrastructure, Barton, Northern Gateway etc. and </w:t>
      </w:r>
      <w:r w:rsidR="00E139D9">
        <w:rPr>
          <w:rFonts w:cs="Arial"/>
          <w:kern w:val="24"/>
        </w:rPr>
        <w:t xml:space="preserve">the </w:t>
      </w:r>
      <w:r w:rsidRPr="00EB2148">
        <w:rPr>
          <w:rFonts w:cs="Arial"/>
          <w:kern w:val="24"/>
        </w:rPr>
        <w:t xml:space="preserve">challenging  </w:t>
      </w:r>
      <w:r w:rsidR="00E139D9">
        <w:rPr>
          <w:rFonts w:cs="Arial"/>
          <w:kern w:val="24"/>
        </w:rPr>
        <w:t xml:space="preserve">financial and </w:t>
      </w:r>
      <w:r w:rsidRPr="00EB2148">
        <w:rPr>
          <w:rFonts w:cs="Arial"/>
          <w:kern w:val="24"/>
        </w:rPr>
        <w:t xml:space="preserve">policy changes </w:t>
      </w:r>
      <w:r w:rsidR="00E139D9">
        <w:rPr>
          <w:rFonts w:cs="Arial"/>
          <w:kern w:val="24"/>
        </w:rPr>
        <w:t xml:space="preserve">driven by the government’s </w:t>
      </w:r>
      <w:r w:rsidRPr="00EB2148">
        <w:rPr>
          <w:rFonts w:cs="Arial"/>
          <w:kern w:val="24"/>
        </w:rPr>
        <w:t>austerity programme;</w:t>
      </w:r>
    </w:p>
    <w:p w:rsidR="00D50956" w:rsidRPr="00EB2148" w:rsidRDefault="00D50956" w:rsidP="00342C47">
      <w:pPr>
        <w:numPr>
          <w:ilvl w:val="1"/>
          <w:numId w:val="40"/>
        </w:numPr>
        <w:tabs>
          <w:tab w:val="clear" w:pos="1440"/>
          <w:tab w:val="num" w:pos="1276"/>
        </w:tabs>
        <w:spacing w:after="0"/>
        <w:ind w:left="1276" w:hanging="425"/>
        <w:contextualSpacing/>
        <w:rPr>
          <w:rFonts w:cs="Arial"/>
          <w:color w:val="auto"/>
        </w:rPr>
      </w:pPr>
      <w:r w:rsidRPr="00EB2148">
        <w:rPr>
          <w:rFonts w:cs="Arial"/>
          <w:kern w:val="24"/>
        </w:rPr>
        <w:t>No substantial change to portfolio footprint;</w:t>
      </w:r>
    </w:p>
    <w:p w:rsidR="00D50956" w:rsidRPr="00EB2148" w:rsidRDefault="00D50956" w:rsidP="00342C47">
      <w:pPr>
        <w:numPr>
          <w:ilvl w:val="0"/>
          <w:numId w:val="39"/>
        </w:numPr>
        <w:spacing w:after="0"/>
        <w:ind w:left="1276" w:hanging="425"/>
        <w:jc w:val="both"/>
        <w:rPr>
          <w:rFonts w:eastAsia="Calibri" w:cs="Arial"/>
          <w:color w:val="auto"/>
          <w:lang w:eastAsia="en-US"/>
        </w:rPr>
      </w:pPr>
      <w:r w:rsidRPr="00EB2148">
        <w:rPr>
          <w:rFonts w:eastAsia="Calibri" w:cs="Arial"/>
          <w:color w:val="auto"/>
          <w:lang w:eastAsia="en-US"/>
        </w:rPr>
        <w:t>Provides potential to borrow to invest in existing portfolio;</w:t>
      </w:r>
    </w:p>
    <w:p w:rsidR="00D50956" w:rsidRPr="00EB2148" w:rsidRDefault="00D50956" w:rsidP="00342C47">
      <w:pPr>
        <w:numPr>
          <w:ilvl w:val="0"/>
          <w:numId w:val="39"/>
        </w:numPr>
        <w:spacing w:after="0"/>
        <w:ind w:left="1276" w:hanging="425"/>
        <w:jc w:val="both"/>
        <w:rPr>
          <w:rFonts w:eastAsia="Calibri" w:cs="Arial"/>
          <w:color w:val="auto"/>
          <w:lang w:eastAsia="en-US"/>
        </w:rPr>
      </w:pPr>
      <w:r w:rsidRPr="00EB2148">
        <w:rPr>
          <w:rFonts w:eastAsia="Calibri" w:cs="Arial"/>
          <w:color w:val="auto"/>
          <w:lang w:eastAsia="en-US"/>
        </w:rPr>
        <w:t xml:space="preserve">Provides potential to undertake asset sales of poorer performing </w:t>
      </w:r>
      <w:r w:rsidR="001312A0" w:rsidRPr="00EB2148">
        <w:rPr>
          <w:rFonts w:eastAsia="Calibri" w:cs="Arial"/>
          <w:color w:val="auto"/>
          <w:lang w:eastAsia="en-US"/>
        </w:rPr>
        <w:t>non-core</w:t>
      </w:r>
      <w:r w:rsidRPr="00EB2148">
        <w:rPr>
          <w:rFonts w:eastAsia="Calibri" w:cs="Arial"/>
          <w:color w:val="auto"/>
          <w:lang w:eastAsia="en-US"/>
        </w:rPr>
        <w:t>/</w:t>
      </w:r>
      <w:r w:rsidR="001312A0" w:rsidRPr="00EB2148">
        <w:rPr>
          <w:rFonts w:eastAsia="Calibri" w:cs="Arial"/>
          <w:color w:val="auto"/>
          <w:lang w:eastAsia="en-US"/>
        </w:rPr>
        <w:t>non-strategic</w:t>
      </w:r>
      <w:r w:rsidRPr="00EB2148">
        <w:rPr>
          <w:rFonts w:eastAsia="Calibri" w:cs="Arial"/>
          <w:color w:val="auto"/>
          <w:lang w:eastAsia="en-US"/>
        </w:rPr>
        <w:t xml:space="preserve"> properties;</w:t>
      </w:r>
    </w:p>
    <w:p w:rsidR="00D50956" w:rsidRPr="00EB2148" w:rsidRDefault="00D50956" w:rsidP="00342C47">
      <w:pPr>
        <w:numPr>
          <w:ilvl w:val="0"/>
          <w:numId w:val="39"/>
        </w:numPr>
        <w:spacing w:after="0"/>
        <w:ind w:left="1276" w:hanging="425"/>
        <w:jc w:val="both"/>
        <w:rPr>
          <w:rFonts w:eastAsia="Calibri" w:cs="Arial"/>
          <w:color w:val="auto"/>
          <w:lang w:eastAsia="en-US"/>
        </w:rPr>
      </w:pPr>
      <w:r w:rsidRPr="00EB2148">
        <w:rPr>
          <w:rFonts w:eastAsia="Calibri" w:cs="Arial"/>
          <w:color w:val="auto"/>
          <w:lang w:eastAsia="en-US"/>
        </w:rPr>
        <w:t xml:space="preserve">Ongoing focus on rationalisation/ improved space </w:t>
      </w:r>
      <w:r w:rsidR="001312A0" w:rsidRPr="00EB2148">
        <w:rPr>
          <w:rFonts w:eastAsia="Calibri" w:cs="Arial"/>
          <w:color w:val="auto"/>
          <w:lang w:eastAsia="en-US"/>
        </w:rPr>
        <w:t>usage</w:t>
      </w:r>
      <w:r w:rsidRPr="00EB2148">
        <w:rPr>
          <w:rFonts w:eastAsia="Calibri" w:cs="Arial"/>
          <w:color w:val="auto"/>
          <w:lang w:eastAsia="en-US"/>
        </w:rPr>
        <w:t>;</w:t>
      </w:r>
    </w:p>
    <w:p w:rsidR="00D50956" w:rsidRPr="00D50956" w:rsidRDefault="00D50956" w:rsidP="00342C47">
      <w:pPr>
        <w:numPr>
          <w:ilvl w:val="0"/>
          <w:numId w:val="39"/>
        </w:numPr>
        <w:spacing w:after="0"/>
        <w:ind w:left="1276" w:hanging="425"/>
        <w:jc w:val="both"/>
        <w:rPr>
          <w:rFonts w:eastAsia="Calibri" w:cs="Arial"/>
          <w:color w:val="auto"/>
          <w:lang w:eastAsia="en-US"/>
        </w:rPr>
      </w:pPr>
      <w:r w:rsidRPr="00D50956">
        <w:rPr>
          <w:rFonts w:eastAsia="Calibri" w:cs="Arial"/>
          <w:color w:val="auto"/>
          <w:lang w:eastAsia="en-US"/>
        </w:rPr>
        <w:t>An appreciation and acknowledgement of the social benefits delivered by the portfolio</w:t>
      </w:r>
    </w:p>
    <w:p w:rsidR="00D50956" w:rsidRPr="00EB2148" w:rsidRDefault="00D50956" w:rsidP="00342C47">
      <w:pPr>
        <w:numPr>
          <w:ilvl w:val="0"/>
          <w:numId w:val="39"/>
        </w:numPr>
        <w:spacing w:after="0"/>
        <w:ind w:left="1276" w:hanging="425"/>
        <w:jc w:val="both"/>
        <w:rPr>
          <w:rFonts w:eastAsia="Calibri" w:cs="Arial"/>
          <w:color w:val="auto"/>
          <w:lang w:eastAsia="en-US"/>
        </w:rPr>
      </w:pPr>
      <w:r w:rsidRPr="00EB2148">
        <w:rPr>
          <w:rFonts w:eastAsia="Calibri" w:cs="Arial"/>
          <w:color w:val="auto"/>
          <w:lang w:eastAsia="en-US"/>
        </w:rPr>
        <w:t>An updated set of Asset Management Protocols</w:t>
      </w:r>
      <w:r w:rsidR="00CD7069">
        <w:rPr>
          <w:rFonts w:eastAsia="Calibri" w:cs="Arial"/>
          <w:color w:val="auto"/>
          <w:lang w:eastAsia="en-US"/>
        </w:rPr>
        <w:t>:</w:t>
      </w:r>
    </w:p>
    <w:p w:rsidR="00D50956" w:rsidRPr="00EB2148" w:rsidRDefault="00D50956" w:rsidP="00D50956">
      <w:pPr>
        <w:spacing w:after="0"/>
        <w:ind w:left="1800"/>
        <w:jc w:val="both"/>
        <w:rPr>
          <w:rFonts w:eastAsia="Calibri" w:cs="Arial"/>
          <w:color w:val="auto"/>
          <w:lang w:eastAsia="en-US"/>
        </w:rPr>
      </w:pPr>
    </w:p>
    <w:p w:rsidR="00D50956" w:rsidRPr="00EB2148" w:rsidRDefault="00D50956" w:rsidP="004B66F8">
      <w:pPr>
        <w:numPr>
          <w:ilvl w:val="1"/>
          <w:numId w:val="39"/>
        </w:numPr>
        <w:spacing w:after="0"/>
        <w:rPr>
          <w:rFonts w:eastAsia="Calibri" w:cs="Arial"/>
          <w:color w:val="auto"/>
          <w:lang w:eastAsia="en-US"/>
        </w:rPr>
      </w:pPr>
      <w:r w:rsidRPr="00EB2148">
        <w:rPr>
          <w:rFonts w:eastAsia="Calibri" w:cs="Arial"/>
          <w:color w:val="auto"/>
          <w:lang w:eastAsia="en-US"/>
        </w:rPr>
        <w:t xml:space="preserve">Acquisition protocol </w:t>
      </w:r>
      <w:r w:rsidR="00CD7069">
        <w:rPr>
          <w:rFonts w:eastAsia="Calibri" w:cs="Arial"/>
          <w:color w:val="auto"/>
          <w:lang w:eastAsia="en-US"/>
        </w:rPr>
        <w:t xml:space="preserve">- </w:t>
      </w:r>
      <w:r w:rsidRPr="00EB2148">
        <w:rPr>
          <w:rFonts w:eastAsia="Calibri" w:cs="Arial"/>
          <w:color w:val="auto"/>
          <w:lang w:eastAsia="en-US"/>
        </w:rPr>
        <w:t>expanded to cover Compulsory Purchase</w:t>
      </w:r>
      <w:r w:rsidR="00CD7069">
        <w:rPr>
          <w:rFonts w:eastAsia="Calibri" w:cs="Arial"/>
          <w:color w:val="auto"/>
          <w:lang w:eastAsia="en-US"/>
        </w:rPr>
        <w:t>;</w:t>
      </w:r>
      <w:r w:rsidRPr="00EB2148">
        <w:rPr>
          <w:rFonts w:eastAsia="Calibri" w:cs="Arial"/>
          <w:color w:val="auto"/>
          <w:lang w:eastAsia="en-US"/>
        </w:rPr>
        <w:t xml:space="preserve"> investment/capital spending and Planned Mainten</w:t>
      </w:r>
      <w:r w:rsidR="003B5DA8">
        <w:rPr>
          <w:rFonts w:eastAsia="Calibri" w:cs="Arial"/>
          <w:color w:val="auto"/>
          <w:lang w:eastAsia="en-US"/>
        </w:rPr>
        <w:t>a</w:t>
      </w:r>
      <w:r w:rsidRPr="00EB2148">
        <w:rPr>
          <w:rFonts w:eastAsia="Calibri" w:cs="Arial"/>
          <w:color w:val="auto"/>
          <w:lang w:eastAsia="en-US"/>
        </w:rPr>
        <w:t>nce</w:t>
      </w:r>
    </w:p>
    <w:p w:rsidR="00D50956" w:rsidRPr="00EB2148" w:rsidRDefault="00D50956" w:rsidP="004B66F8">
      <w:pPr>
        <w:numPr>
          <w:ilvl w:val="1"/>
          <w:numId w:val="39"/>
        </w:numPr>
        <w:spacing w:after="0"/>
        <w:rPr>
          <w:rFonts w:eastAsia="Calibri" w:cs="Arial"/>
          <w:color w:val="auto"/>
          <w:lang w:eastAsia="en-US"/>
        </w:rPr>
      </w:pPr>
      <w:r w:rsidRPr="00EB2148">
        <w:rPr>
          <w:rFonts w:eastAsia="Calibri" w:cs="Arial"/>
          <w:color w:val="auto"/>
          <w:lang w:eastAsia="en-US"/>
        </w:rPr>
        <w:t xml:space="preserve">Covered Market Leasing Strategy separated from the wider Letting and Tenant </w:t>
      </w:r>
      <w:r w:rsidR="00CD7069">
        <w:rPr>
          <w:rFonts w:eastAsia="Calibri" w:cs="Arial"/>
          <w:color w:val="auto"/>
          <w:lang w:eastAsia="en-US"/>
        </w:rPr>
        <w:t>M</w:t>
      </w:r>
      <w:r w:rsidRPr="00EB2148">
        <w:rPr>
          <w:rFonts w:eastAsia="Calibri" w:cs="Arial"/>
          <w:color w:val="auto"/>
          <w:lang w:eastAsia="en-US"/>
        </w:rPr>
        <w:t xml:space="preserve">ix </w:t>
      </w:r>
      <w:r w:rsidR="00CD7069">
        <w:rPr>
          <w:rFonts w:eastAsia="Calibri" w:cs="Arial"/>
          <w:color w:val="auto"/>
          <w:lang w:eastAsia="en-US"/>
        </w:rPr>
        <w:t>S</w:t>
      </w:r>
      <w:r w:rsidRPr="00EB2148">
        <w:rPr>
          <w:rFonts w:eastAsia="Calibri" w:cs="Arial"/>
          <w:color w:val="auto"/>
          <w:lang w:eastAsia="en-US"/>
        </w:rPr>
        <w:t>trategy</w:t>
      </w:r>
    </w:p>
    <w:p w:rsidR="00D50956" w:rsidRPr="00EB2148" w:rsidRDefault="00D50956" w:rsidP="004B66F8">
      <w:pPr>
        <w:numPr>
          <w:ilvl w:val="1"/>
          <w:numId w:val="39"/>
        </w:numPr>
        <w:spacing w:after="0"/>
        <w:rPr>
          <w:rFonts w:eastAsia="Calibri" w:cs="Arial"/>
          <w:color w:val="auto"/>
          <w:lang w:eastAsia="en-US"/>
        </w:rPr>
      </w:pPr>
      <w:r w:rsidRPr="00EB2148">
        <w:rPr>
          <w:rFonts w:eastAsia="Calibri" w:cs="Arial"/>
          <w:color w:val="auto"/>
          <w:lang w:eastAsia="en-US"/>
        </w:rPr>
        <w:t xml:space="preserve">Estate </w:t>
      </w:r>
      <w:r w:rsidR="00CD7069">
        <w:rPr>
          <w:rFonts w:eastAsia="Calibri" w:cs="Arial"/>
          <w:color w:val="auto"/>
          <w:lang w:eastAsia="en-US"/>
        </w:rPr>
        <w:t>S</w:t>
      </w:r>
      <w:r w:rsidRPr="00EB2148">
        <w:rPr>
          <w:rFonts w:eastAsia="Calibri" w:cs="Arial"/>
          <w:color w:val="auto"/>
          <w:lang w:eastAsia="en-US"/>
        </w:rPr>
        <w:t xml:space="preserve">hops </w:t>
      </w:r>
      <w:r w:rsidR="00CD7069">
        <w:rPr>
          <w:rFonts w:eastAsia="Calibri" w:cs="Arial"/>
          <w:color w:val="auto"/>
          <w:lang w:eastAsia="en-US"/>
        </w:rPr>
        <w:t>P</w:t>
      </w:r>
      <w:r w:rsidRPr="00EB2148">
        <w:rPr>
          <w:rFonts w:eastAsia="Calibri" w:cs="Arial"/>
          <w:color w:val="auto"/>
          <w:lang w:eastAsia="en-US"/>
        </w:rPr>
        <w:t xml:space="preserve">rotocol </w:t>
      </w:r>
      <w:r w:rsidR="004B66F8">
        <w:rPr>
          <w:rFonts w:eastAsia="Calibri" w:cs="Arial"/>
          <w:color w:val="auto"/>
          <w:lang w:eastAsia="en-US"/>
        </w:rPr>
        <w:t xml:space="preserve">- </w:t>
      </w:r>
      <w:r w:rsidRPr="00EB2148">
        <w:rPr>
          <w:rFonts w:eastAsia="Calibri" w:cs="Arial"/>
          <w:color w:val="auto"/>
          <w:lang w:eastAsia="en-US"/>
        </w:rPr>
        <w:t>developed to better articulate how these are managed following their transfer to General Fund.</w:t>
      </w:r>
    </w:p>
    <w:p w:rsidR="00D50956" w:rsidRPr="00EB2148" w:rsidRDefault="00D50956" w:rsidP="004B66F8">
      <w:pPr>
        <w:numPr>
          <w:ilvl w:val="1"/>
          <w:numId w:val="39"/>
        </w:numPr>
        <w:spacing w:after="0"/>
        <w:rPr>
          <w:rFonts w:eastAsia="Calibri" w:cs="Arial"/>
          <w:color w:val="auto"/>
          <w:lang w:eastAsia="en-US"/>
        </w:rPr>
      </w:pPr>
      <w:r w:rsidRPr="00EB2148">
        <w:rPr>
          <w:rFonts w:eastAsia="Calibri" w:cs="Arial"/>
          <w:color w:val="auto"/>
          <w:lang w:eastAsia="en-US"/>
        </w:rPr>
        <w:t xml:space="preserve">Restrictive </w:t>
      </w:r>
      <w:r w:rsidR="004B66F8">
        <w:rPr>
          <w:rFonts w:eastAsia="Calibri" w:cs="Arial"/>
          <w:color w:val="auto"/>
          <w:lang w:eastAsia="en-US"/>
        </w:rPr>
        <w:t>C</w:t>
      </w:r>
      <w:r w:rsidRPr="00EB2148">
        <w:rPr>
          <w:rFonts w:eastAsia="Calibri" w:cs="Arial"/>
          <w:color w:val="auto"/>
          <w:lang w:eastAsia="en-US"/>
        </w:rPr>
        <w:t xml:space="preserve">ovenants </w:t>
      </w:r>
      <w:r w:rsidR="004B66F8">
        <w:rPr>
          <w:rFonts w:eastAsia="Calibri" w:cs="Arial"/>
          <w:color w:val="auto"/>
          <w:lang w:eastAsia="en-US"/>
        </w:rPr>
        <w:t xml:space="preserve"> - </w:t>
      </w:r>
      <w:r w:rsidRPr="00EB2148">
        <w:rPr>
          <w:rFonts w:eastAsia="Calibri" w:cs="Arial"/>
          <w:color w:val="auto"/>
          <w:lang w:eastAsia="en-US"/>
        </w:rPr>
        <w:t xml:space="preserve">articulates the revised policy developed since previous </w:t>
      </w:r>
      <w:r w:rsidR="004B66F8">
        <w:rPr>
          <w:rFonts w:eastAsia="Calibri" w:cs="Arial"/>
          <w:color w:val="auto"/>
          <w:lang w:eastAsia="en-US"/>
        </w:rPr>
        <w:t>P</w:t>
      </w:r>
      <w:r w:rsidRPr="00EB2148">
        <w:rPr>
          <w:rFonts w:eastAsia="Calibri" w:cs="Arial"/>
          <w:color w:val="auto"/>
          <w:lang w:eastAsia="en-US"/>
        </w:rPr>
        <w:t>lan</w:t>
      </w:r>
    </w:p>
    <w:p w:rsidR="00D50956" w:rsidRPr="00EB2148" w:rsidRDefault="00D50956" w:rsidP="004B66F8">
      <w:pPr>
        <w:numPr>
          <w:ilvl w:val="1"/>
          <w:numId w:val="39"/>
        </w:numPr>
        <w:spacing w:after="0"/>
        <w:rPr>
          <w:rFonts w:eastAsia="Calibri" w:cs="Arial"/>
          <w:color w:val="auto"/>
          <w:lang w:eastAsia="en-US"/>
        </w:rPr>
      </w:pPr>
      <w:r w:rsidRPr="00EB2148">
        <w:rPr>
          <w:rFonts w:eastAsia="Calibri" w:cs="Arial"/>
          <w:color w:val="auto"/>
          <w:lang w:eastAsia="en-US"/>
        </w:rPr>
        <w:t xml:space="preserve">Health and </w:t>
      </w:r>
      <w:r w:rsidR="00CD7069">
        <w:rPr>
          <w:rFonts w:eastAsia="Calibri" w:cs="Arial"/>
          <w:color w:val="auto"/>
          <w:lang w:eastAsia="en-US"/>
        </w:rPr>
        <w:t>S</w:t>
      </w:r>
      <w:r w:rsidRPr="00EB2148">
        <w:rPr>
          <w:rFonts w:eastAsia="Calibri" w:cs="Arial"/>
          <w:color w:val="auto"/>
          <w:lang w:eastAsia="en-US"/>
        </w:rPr>
        <w:t xml:space="preserve">afety </w:t>
      </w:r>
      <w:r w:rsidR="00CD7069">
        <w:rPr>
          <w:rFonts w:eastAsia="Calibri" w:cs="Arial"/>
          <w:color w:val="auto"/>
          <w:lang w:eastAsia="en-US"/>
        </w:rPr>
        <w:t>P</w:t>
      </w:r>
      <w:r w:rsidRPr="00EB2148">
        <w:rPr>
          <w:rFonts w:eastAsia="Calibri" w:cs="Arial"/>
          <w:color w:val="auto"/>
          <w:lang w:eastAsia="en-US"/>
        </w:rPr>
        <w:t>rotocol introduced</w:t>
      </w:r>
    </w:p>
    <w:p w:rsidR="00D50956" w:rsidRPr="00EB2148" w:rsidRDefault="00D50956" w:rsidP="004B66F8">
      <w:pPr>
        <w:numPr>
          <w:ilvl w:val="1"/>
          <w:numId w:val="39"/>
        </w:numPr>
        <w:spacing w:after="0"/>
        <w:rPr>
          <w:rFonts w:eastAsia="Calibri" w:cs="Arial"/>
          <w:color w:val="auto"/>
          <w:lang w:eastAsia="en-US"/>
        </w:rPr>
      </w:pPr>
      <w:r w:rsidRPr="00EB2148">
        <w:rPr>
          <w:rFonts w:eastAsia="Calibri" w:cs="Arial"/>
          <w:color w:val="auto"/>
          <w:lang w:eastAsia="en-US"/>
        </w:rPr>
        <w:lastRenderedPageBreak/>
        <w:t xml:space="preserve">Community </w:t>
      </w:r>
      <w:r w:rsidR="00CD7069">
        <w:rPr>
          <w:rFonts w:eastAsia="Calibri" w:cs="Arial"/>
          <w:color w:val="auto"/>
          <w:lang w:eastAsia="en-US"/>
        </w:rPr>
        <w:t>L</w:t>
      </w:r>
      <w:r w:rsidRPr="00EB2148">
        <w:rPr>
          <w:rFonts w:eastAsia="Calibri" w:cs="Arial"/>
          <w:color w:val="auto"/>
          <w:lang w:eastAsia="en-US"/>
        </w:rPr>
        <w:t xml:space="preserve">ettings </w:t>
      </w:r>
      <w:r w:rsidR="00CD7069">
        <w:rPr>
          <w:rFonts w:eastAsia="Calibri" w:cs="Arial"/>
          <w:color w:val="auto"/>
          <w:lang w:eastAsia="en-US"/>
        </w:rPr>
        <w:t>P</w:t>
      </w:r>
      <w:r w:rsidRPr="00EB2148">
        <w:rPr>
          <w:rFonts w:eastAsia="Calibri" w:cs="Arial"/>
          <w:color w:val="auto"/>
          <w:lang w:eastAsia="en-US"/>
        </w:rPr>
        <w:t xml:space="preserve">rotocol </w:t>
      </w:r>
      <w:r w:rsidR="00CD7069">
        <w:rPr>
          <w:rFonts w:eastAsia="Calibri" w:cs="Arial"/>
          <w:color w:val="auto"/>
          <w:lang w:eastAsia="en-US"/>
        </w:rPr>
        <w:t xml:space="preserve">- </w:t>
      </w:r>
      <w:r w:rsidRPr="00EB2148">
        <w:rPr>
          <w:rFonts w:eastAsia="Calibri" w:cs="Arial"/>
          <w:color w:val="auto"/>
          <w:lang w:eastAsia="en-US"/>
        </w:rPr>
        <w:t>allows for improved flexibility and innovation</w:t>
      </w:r>
    </w:p>
    <w:p w:rsidR="00D50956" w:rsidRPr="00EB2148" w:rsidRDefault="00D50956" w:rsidP="004B66F8">
      <w:pPr>
        <w:numPr>
          <w:ilvl w:val="1"/>
          <w:numId w:val="39"/>
        </w:numPr>
        <w:spacing w:after="0"/>
        <w:rPr>
          <w:rFonts w:eastAsia="Calibri" w:cs="Arial"/>
          <w:color w:val="auto"/>
          <w:lang w:eastAsia="en-US"/>
        </w:rPr>
      </w:pPr>
      <w:r w:rsidRPr="00EB2148">
        <w:rPr>
          <w:rFonts w:eastAsia="Calibri" w:cs="Arial"/>
          <w:color w:val="auto"/>
          <w:lang w:eastAsia="en-US"/>
        </w:rPr>
        <w:t xml:space="preserve">Property </w:t>
      </w:r>
      <w:r w:rsidR="004B66F8">
        <w:rPr>
          <w:rFonts w:eastAsia="Calibri" w:cs="Arial"/>
          <w:color w:val="auto"/>
          <w:lang w:eastAsia="en-US"/>
        </w:rPr>
        <w:t>S</w:t>
      </w:r>
      <w:r w:rsidRPr="00EB2148">
        <w:rPr>
          <w:rFonts w:eastAsia="Calibri" w:cs="Arial"/>
          <w:color w:val="auto"/>
          <w:lang w:eastAsia="en-US"/>
        </w:rPr>
        <w:t xml:space="preserve">ubsidisation and Equalities and </w:t>
      </w:r>
      <w:r w:rsidR="004B66F8">
        <w:rPr>
          <w:rFonts w:eastAsia="Calibri" w:cs="Arial"/>
          <w:color w:val="auto"/>
          <w:lang w:eastAsia="en-US"/>
        </w:rPr>
        <w:t>D</w:t>
      </w:r>
      <w:r w:rsidRPr="00EB2148">
        <w:rPr>
          <w:rFonts w:eastAsia="Calibri" w:cs="Arial"/>
          <w:color w:val="auto"/>
          <w:lang w:eastAsia="en-US"/>
        </w:rPr>
        <w:t xml:space="preserve">iversity introduced into protocols rather than </w:t>
      </w:r>
      <w:r w:rsidR="004B66F8">
        <w:rPr>
          <w:rFonts w:eastAsia="Calibri" w:cs="Arial"/>
          <w:color w:val="auto"/>
          <w:lang w:eastAsia="en-US"/>
        </w:rPr>
        <w:t xml:space="preserve">included in the </w:t>
      </w:r>
      <w:r w:rsidRPr="00EB2148">
        <w:rPr>
          <w:rFonts w:eastAsia="Calibri" w:cs="Arial"/>
          <w:color w:val="auto"/>
          <w:lang w:eastAsia="en-US"/>
        </w:rPr>
        <w:t xml:space="preserve">main body of </w:t>
      </w:r>
      <w:r w:rsidR="004B66F8">
        <w:rPr>
          <w:rFonts w:eastAsia="Calibri" w:cs="Arial"/>
          <w:color w:val="auto"/>
          <w:lang w:eastAsia="en-US"/>
        </w:rPr>
        <w:t>the P</w:t>
      </w:r>
      <w:r w:rsidRPr="00EB2148">
        <w:rPr>
          <w:rFonts w:eastAsia="Calibri" w:cs="Arial"/>
          <w:color w:val="auto"/>
          <w:lang w:eastAsia="en-US"/>
        </w:rPr>
        <w:t>lan</w:t>
      </w:r>
    </w:p>
    <w:p w:rsidR="00633578" w:rsidRDefault="00EF6FA4" w:rsidP="00E87F7A">
      <w:pPr>
        <w:pStyle w:val="Heading1"/>
      </w:pPr>
      <w:r>
        <w:t>Public Consultation</w:t>
      </w:r>
    </w:p>
    <w:p w:rsidR="00610BD6" w:rsidRDefault="00342C47" w:rsidP="00F9325D">
      <w:pPr>
        <w:ind w:left="426" w:hanging="426"/>
      </w:pPr>
      <w:r>
        <w:t>8</w:t>
      </w:r>
      <w:r w:rsidR="00136FCC">
        <w:t>.</w:t>
      </w:r>
      <w:r w:rsidR="00136FCC">
        <w:tab/>
      </w:r>
      <w:r w:rsidR="00610BD6">
        <w:t xml:space="preserve">The consultation exercise resulted in only one response but this is nonetheless valuable feedback and the respondent </w:t>
      </w:r>
      <w:r w:rsidR="004B66F8">
        <w:t>was</w:t>
      </w:r>
      <w:r w:rsidR="00610BD6">
        <w:t xml:space="preserve"> thanked for their comments.</w:t>
      </w:r>
    </w:p>
    <w:p w:rsidR="00B036B5" w:rsidRDefault="00342C47" w:rsidP="00B036B5">
      <w:pPr>
        <w:ind w:left="426" w:hanging="426"/>
      </w:pPr>
      <w:r>
        <w:t>9</w:t>
      </w:r>
      <w:r w:rsidR="00136FCC">
        <w:t>.</w:t>
      </w:r>
      <w:r w:rsidR="00F634E0">
        <w:t xml:space="preserve">   </w:t>
      </w:r>
      <w:r w:rsidR="00C303A0">
        <w:t>The respond</w:t>
      </w:r>
      <w:r>
        <w:t>e</w:t>
      </w:r>
      <w:r w:rsidR="00C303A0">
        <w:t xml:space="preserve">nt suggested in </w:t>
      </w:r>
      <w:proofErr w:type="gramStart"/>
      <w:r w:rsidR="00C303A0">
        <w:t xml:space="preserve">essence </w:t>
      </w:r>
      <w:r w:rsidR="0086188A" w:rsidRPr="00C303A0">
        <w:t xml:space="preserve"> that</w:t>
      </w:r>
      <w:proofErr w:type="gramEnd"/>
      <w:r w:rsidR="0086188A" w:rsidRPr="00C303A0">
        <w:t xml:space="preserve"> the Asset Management Plan articulated an approach that was purely fina</w:t>
      </w:r>
      <w:r w:rsidR="00C303A0" w:rsidRPr="00C303A0">
        <w:t>n</w:t>
      </w:r>
      <w:r w:rsidR="0086188A" w:rsidRPr="00C303A0">
        <w:t>cial</w:t>
      </w:r>
      <w:r>
        <w:t>l</w:t>
      </w:r>
      <w:r w:rsidR="0086188A" w:rsidRPr="00C303A0">
        <w:t>y driven and did not consider other social and public benefit</w:t>
      </w:r>
      <w:r w:rsidR="00C303A0" w:rsidRPr="00C303A0">
        <w:t>s and needs of local residents.</w:t>
      </w:r>
      <w:r w:rsidR="00610BD6" w:rsidRPr="00C303A0">
        <w:t xml:space="preserve"> </w:t>
      </w:r>
      <w:r w:rsidR="00C303A0">
        <w:t>7.</w:t>
      </w:r>
      <w:r w:rsidR="00C303A0" w:rsidRPr="00C303A0">
        <w:t xml:space="preserve"> </w:t>
      </w:r>
      <w:r w:rsidR="00C303A0">
        <w:t xml:space="preserve">  </w:t>
      </w:r>
    </w:p>
    <w:p w:rsidR="00C303A0" w:rsidRDefault="00B036B5" w:rsidP="00C303A0">
      <w:pPr>
        <w:ind w:left="426" w:hanging="426"/>
      </w:pPr>
      <w:r>
        <w:t>10</w:t>
      </w:r>
      <w:r>
        <w:tab/>
      </w:r>
      <w:r w:rsidR="00C303A0">
        <w:t>Having reviewed and considered this in detail we consider that the Plan as drafted articulates a balanced and rational framework that whilst driving performance of its property assets nonetheless makes clear that the Council will have regard to the wider issues of community benefit and impact and social value so that decisions taken are for benefit of all the citizens of Oxford.</w:t>
      </w:r>
      <w:r w:rsidRPr="00B036B5">
        <w:rPr>
          <w:rFonts w:cs="Arial"/>
        </w:rPr>
        <w:t xml:space="preserve"> </w:t>
      </w:r>
      <w:r>
        <w:rPr>
          <w:rFonts w:cs="Arial"/>
        </w:rPr>
        <w:t>Moreover, income generated from our assets is spent on services of benefit to local residents.</w:t>
      </w:r>
      <w:r>
        <w:t>11</w:t>
      </w:r>
      <w:r w:rsidR="00C303A0">
        <w:t>.</w:t>
      </w:r>
      <w:r w:rsidR="00C303A0">
        <w:tab/>
        <w:t>This approach we consider fully addresses the concern raised by the respondent and in the circumstances we do not propose any amendment to the document.</w:t>
      </w:r>
    </w:p>
    <w:p w:rsidR="0040736F" w:rsidRPr="001356F1" w:rsidRDefault="002329CF" w:rsidP="004A6D2F">
      <w:pPr>
        <w:pStyle w:val="Heading1"/>
      </w:pPr>
      <w:r w:rsidRPr="001356F1">
        <w:t>Financial implications</w:t>
      </w:r>
    </w:p>
    <w:p w:rsidR="00D50956" w:rsidRDefault="00342C47" w:rsidP="00F9325D">
      <w:pPr>
        <w:pStyle w:val="ListParagraph"/>
        <w:numPr>
          <w:ilvl w:val="0"/>
          <w:numId w:val="0"/>
        </w:numPr>
        <w:ind w:left="426" w:hanging="426"/>
      </w:pPr>
      <w:r>
        <w:t>1</w:t>
      </w:r>
      <w:r w:rsidR="00B036B5">
        <w:t>2</w:t>
      </w:r>
      <w:r w:rsidR="00136FCC">
        <w:t>.</w:t>
      </w:r>
      <w:r w:rsidR="00136FCC">
        <w:tab/>
      </w:r>
      <w:r w:rsidR="00D50956" w:rsidRPr="00D50956">
        <w:t xml:space="preserve">There are no specific financial implications arising </w:t>
      </w:r>
      <w:r w:rsidR="00642772">
        <w:t xml:space="preserve">directly </w:t>
      </w:r>
      <w:r w:rsidR="00D50956" w:rsidRPr="00D50956">
        <w:t xml:space="preserve">from the Asset Management </w:t>
      </w:r>
      <w:r w:rsidR="00D50956">
        <w:t>Plan 2016-20 which has adopted current agreed budgets.</w:t>
      </w:r>
    </w:p>
    <w:p w:rsidR="00D50956" w:rsidRDefault="00342C47" w:rsidP="00F9325D">
      <w:pPr>
        <w:pStyle w:val="ListParagraph"/>
        <w:numPr>
          <w:ilvl w:val="0"/>
          <w:numId w:val="0"/>
        </w:numPr>
        <w:ind w:left="426" w:hanging="426"/>
      </w:pPr>
      <w:r>
        <w:t>1</w:t>
      </w:r>
      <w:r w:rsidR="00B036B5">
        <w:t>3</w:t>
      </w:r>
      <w:r w:rsidR="00136FCC">
        <w:t>.</w:t>
      </w:r>
      <w:r w:rsidR="00136FCC">
        <w:tab/>
      </w:r>
      <w:r w:rsidR="00D50956">
        <w:t xml:space="preserve">Any future </w:t>
      </w:r>
      <w:r w:rsidR="00947BC8">
        <w:t xml:space="preserve">projects arising </w:t>
      </w:r>
      <w:r w:rsidR="00D50956">
        <w:t>will be subject to appropriate approval processes</w:t>
      </w:r>
      <w:r w:rsidR="004560C4">
        <w:t xml:space="preserve"> </w:t>
      </w:r>
      <w:r w:rsidR="00947BC8">
        <w:t>and subsequent reports</w:t>
      </w:r>
      <w:r w:rsidR="00D50956">
        <w:t>.</w:t>
      </w:r>
    </w:p>
    <w:p w:rsidR="0040736F" w:rsidRPr="001356F1" w:rsidRDefault="00DA614B" w:rsidP="004A6D2F">
      <w:pPr>
        <w:pStyle w:val="Heading1"/>
      </w:pPr>
      <w:r w:rsidRPr="001356F1">
        <w:t>Legal issues</w:t>
      </w:r>
    </w:p>
    <w:p w:rsidR="00D50956" w:rsidRPr="00D50956" w:rsidRDefault="00342C47" w:rsidP="00F9325D">
      <w:pPr>
        <w:pStyle w:val="Heading1"/>
        <w:ind w:left="426" w:hanging="426"/>
        <w:rPr>
          <w:b w:val="0"/>
        </w:rPr>
      </w:pPr>
      <w:r>
        <w:rPr>
          <w:rFonts w:cs="Arial"/>
          <w:b w:val="0"/>
        </w:rPr>
        <w:t>1</w:t>
      </w:r>
      <w:r w:rsidR="00B036B5">
        <w:rPr>
          <w:rFonts w:cs="Arial"/>
          <w:b w:val="0"/>
        </w:rPr>
        <w:t>4</w:t>
      </w:r>
      <w:r w:rsidR="00136FCC">
        <w:rPr>
          <w:rFonts w:cs="Arial"/>
          <w:b w:val="0"/>
        </w:rPr>
        <w:t>.</w:t>
      </w:r>
      <w:r w:rsidR="00136FCC">
        <w:rPr>
          <w:rFonts w:cs="Arial"/>
          <w:b w:val="0"/>
        </w:rPr>
        <w:tab/>
      </w:r>
      <w:r w:rsidR="00D50956" w:rsidRPr="00D50956">
        <w:rPr>
          <w:rFonts w:cs="Arial"/>
          <w:b w:val="0"/>
        </w:rPr>
        <w:t>There are no direct legal implications arising out of this report</w:t>
      </w:r>
    </w:p>
    <w:p w:rsidR="002329CF" w:rsidRDefault="002329CF" w:rsidP="004A6D2F">
      <w:pPr>
        <w:pStyle w:val="Heading1"/>
      </w:pPr>
      <w:r w:rsidRPr="001356F1">
        <w:t>Level of risk</w:t>
      </w:r>
    </w:p>
    <w:p w:rsidR="0027774D" w:rsidRPr="0027774D" w:rsidRDefault="00342C47" w:rsidP="00F9325D">
      <w:pPr>
        <w:spacing w:after="0"/>
        <w:ind w:left="426" w:hanging="426"/>
        <w:rPr>
          <w:rFonts w:cs="Arial"/>
          <w:color w:val="auto"/>
          <w:lang w:eastAsia="en-US"/>
        </w:rPr>
      </w:pPr>
      <w:r>
        <w:rPr>
          <w:rFonts w:cs="Arial"/>
          <w:color w:val="auto"/>
          <w:lang w:eastAsia="en-US"/>
        </w:rPr>
        <w:t>1</w:t>
      </w:r>
      <w:r w:rsidR="00B036B5">
        <w:rPr>
          <w:rFonts w:cs="Arial"/>
          <w:color w:val="auto"/>
          <w:lang w:eastAsia="en-US"/>
        </w:rPr>
        <w:t>5</w:t>
      </w:r>
      <w:r w:rsidR="00136FCC">
        <w:rPr>
          <w:rFonts w:cs="Arial"/>
          <w:color w:val="auto"/>
          <w:lang w:eastAsia="en-US"/>
        </w:rPr>
        <w:t>.</w:t>
      </w:r>
      <w:r w:rsidR="00136FCC">
        <w:rPr>
          <w:rFonts w:cs="Arial"/>
          <w:color w:val="auto"/>
          <w:lang w:eastAsia="en-US"/>
        </w:rPr>
        <w:tab/>
      </w:r>
      <w:r w:rsidR="0027774D" w:rsidRPr="0027774D">
        <w:rPr>
          <w:rFonts w:cs="Arial"/>
          <w:color w:val="auto"/>
          <w:lang w:eastAsia="en-US"/>
        </w:rPr>
        <w:t>Not having an up to date AMP will impact on the Council'</w:t>
      </w:r>
      <w:r w:rsidR="0027774D">
        <w:rPr>
          <w:rFonts w:cs="Arial"/>
          <w:color w:val="auto"/>
          <w:lang w:eastAsia="en-US"/>
        </w:rPr>
        <w:t xml:space="preserve">s ability to effectively manage </w:t>
      </w:r>
      <w:r w:rsidR="0027774D" w:rsidRPr="0027774D">
        <w:rPr>
          <w:rFonts w:cs="Arial"/>
          <w:color w:val="auto"/>
          <w:lang w:eastAsia="en-US"/>
        </w:rPr>
        <w:t>its property assets as a Corporate Resource</w:t>
      </w:r>
    </w:p>
    <w:p w:rsidR="0027774D" w:rsidRPr="0027774D" w:rsidRDefault="0027774D" w:rsidP="0027774D">
      <w:pPr>
        <w:spacing w:after="0"/>
        <w:ind w:left="720" w:hanging="720"/>
        <w:rPr>
          <w:rFonts w:cs="Arial"/>
          <w:bCs/>
          <w:color w:val="auto"/>
          <w:lang w:eastAsia="en-US"/>
        </w:rPr>
      </w:pPr>
    </w:p>
    <w:p w:rsidR="0027774D" w:rsidRPr="0027774D" w:rsidRDefault="00136FCC" w:rsidP="00F9325D">
      <w:pPr>
        <w:spacing w:after="0"/>
        <w:ind w:left="426" w:hanging="426"/>
        <w:rPr>
          <w:rFonts w:cs="Arial"/>
          <w:color w:val="auto"/>
          <w:lang w:eastAsia="en-US"/>
        </w:rPr>
      </w:pPr>
      <w:r>
        <w:rPr>
          <w:rFonts w:cs="Arial"/>
          <w:color w:val="auto"/>
          <w:lang w:eastAsia="en-US"/>
        </w:rPr>
        <w:t>1</w:t>
      </w:r>
      <w:r w:rsidR="00B036B5">
        <w:rPr>
          <w:rFonts w:cs="Arial"/>
          <w:color w:val="auto"/>
          <w:lang w:eastAsia="en-US"/>
        </w:rPr>
        <w:t>6</w:t>
      </w:r>
      <w:r>
        <w:rPr>
          <w:rFonts w:cs="Arial"/>
          <w:color w:val="auto"/>
          <w:lang w:eastAsia="en-US"/>
        </w:rPr>
        <w:t>.</w:t>
      </w:r>
      <w:r>
        <w:rPr>
          <w:rFonts w:cs="Arial"/>
          <w:color w:val="auto"/>
          <w:lang w:eastAsia="en-US"/>
        </w:rPr>
        <w:tab/>
      </w:r>
      <w:r w:rsidR="0027774D" w:rsidRPr="0027774D">
        <w:rPr>
          <w:rFonts w:cs="Arial"/>
          <w:color w:val="auto"/>
          <w:lang w:eastAsia="en-US"/>
        </w:rPr>
        <w:t xml:space="preserve">A detailed Risk Register has been incorporated within the AMP </w:t>
      </w:r>
      <w:r w:rsidR="0027774D">
        <w:rPr>
          <w:rFonts w:cs="Arial"/>
          <w:color w:val="auto"/>
          <w:lang w:eastAsia="en-US"/>
        </w:rPr>
        <w:t>which is appended to</w:t>
      </w:r>
      <w:r>
        <w:rPr>
          <w:rFonts w:cs="Arial"/>
          <w:color w:val="auto"/>
          <w:lang w:eastAsia="en-US"/>
        </w:rPr>
        <w:t xml:space="preserve"> </w:t>
      </w:r>
      <w:r w:rsidR="0027774D" w:rsidRPr="0027774D">
        <w:rPr>
          <w:rFonts w:cs="Arial"/>
          <w:color w:val="auto"/>
          <w:lang w:eastAsia="en-US"/>
        </w:rPr>
        <w:t>this report.</w:t>
      </w:r>
    </w:p>
    <w:p w:rsidR="002329CF" w:rsidRDefault="002329CF" w:rsidP="0050321C">
      <w:pPr>
        <w:pStyle w:val="Heading1"/>
      </w:pPr>
      <w:r w:rsidRPr="001356F1">
        <w:t xml:space="preserve">Equalities impact </w:t>
      </w:r>
    </w:p>
    <w:p w:rsidR="0027774D" w:rsidRPr="0027774D" w:rsidRDefault="00136FCC" w:rsidP="00F9325D">
      <w:pPr>
        <w:ind w:left="426" w:hanging="426"/>
      </w:pPr>
      <w:r>
        <w:t>1</w:t>
      </w:r>
      <w:r w:rsidR="00B036B5">
        <w:t>7</w:t>
      </w:r>
      <w:r>
        <w:t>.</w:t>
      </w:r>
      <w:r>
        <w:tab/>
      </w:r>
      <w:r w:rsidR="0027774D">
        <w:t xml:space="preserve">The plan itself does not require an Equalities Impact Assessment as </w:t>
      </w:r>
      <w:r w:rsidR="00C81459">
        <w:t xml:space="preserve">it </w:t>
      </w:r>
      <w:r w:rsidR="0027774D">
        <w:t>provides a strategic framework.</w:t>
      </w:r>
    </w:p>
    <w:p w:rsidR="0027774D" w:rsidRDefault="00136FCC" w:rsidP="00F9325D">
      <w:pPr>
        <w:pStyle w:val="ListParagraph"/>
        <w:numPr>
          <w:ilvl w:val="0"/>
          <w:numId w:val="0"/>
        </w:numPr>
        <w:ind w:left="426" w:hanging="426"/>
      </w:pPr>
      <w:r>
        <w:t>1</w:t>
      </w:r>
      <w:r w:rsidR="00B036B5">
        <w:t>8</w:t>
      </w:r>
      <w:r>
        <w:tab/>
      </w:r>
      <w:r w:rsidR="00C81459">
        <w:t>P</w:t>
      </w:r>
      <w:r w:rsidR="0027774D">
        <w:t>roject</w:t>
      </w:r>
      <w:r w:rsidR="00C81459">
        <w:t>s</w:t>
      </w:r>
      <w:r w:rsidR="0027774D">
        <w:t xml:space="preserve"> </w:t>
      </w:r>
      <w:r w:rsidR="00C81459">
        <w:t>with</w:t>
      </w:r>
      <w:r w:rsidR="0027774D">
        <w:t xml:space="preserve">in the </w:t>
      </w:r>
      <w:r w:rsidR="00C81459">
        <w:t xml:space="preserve">associated </w:t>
      </w:r>
      <w:r w:rsidR="0027774D">
        <w:t xml:space="preserve">action plan of the AMP will specifically address equality issues </w:t>
      </w:r>
      <w:r w:rsidR="00C81459">
        <w:t>and consideration</w:t>
      </w:r>
      <w:r w:rsidR="0027774D">
        <w:t xml:space="preserve"> of the need for Equalities Impact Assessments will be made at the inception of those individual projects and actions.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32D30" w:rsidP="00A46E98">
            <w:r>
              <w:t>Michael W Scott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32D30" w:rsidP="00A46E98">
            <w:r>
              <w:t>Senior Asset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lastRenderedPageBreak/>
              <w:t>Service area or department</w:t>
            </w:r>
          </w:p>
        </w:tc>
        <w:tc>
          <w:tcPr>
            <w:tcW w:w="4962" w:type="dxa"/>
            <w:tcBorders>
              <w:top w:val="nil"/>
              <w:left w:val="nil"/>
              <w:bottom w:val="nil"/>
              <w:right w:val="single" w:sz="8" w:space="0" w:color="000000"/>
            </w:tcBorders>
            <w:shd w:val="clear" w:color="auto" w:fill="auto"/>
          </w:tcPr>
          <w:p w:rsidR="00E87F7A" w:rsidRPr="001356F1" w:rsidRDefault="00932D30" w:rsidP="00A46E98">
            <w:r>
              <w:t>Regeneration and Major Projects</w:t>
            </w:r>
          </w:p>
        </w:tc>
        <w:bookmarkStart w:id="0" w:name="_GoBack"/>
        <w:bookmarkEnd w:id="0"/>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32D30">
            <w:r w:rsidRPr="001356F1">
              <w:t xml:space="preserve">01865 </w:t>
            </w:r>
            <w:r w:rsidR="00932D30">
              <w:t>252138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32D30" w:rsidP="00A46E98">
            <w:pPr>
              <w:rPr>
                <w:rStyle w:val="Hyperlink"/>
                <w:color w:val="000000"/>
              </w:rPr>
            </w:pPr>
            <w:r>
              <w:rPr>
                <w:rStyle w:val="Hyperlink"/>
                <w:color w:val="000000"/>
              </w:rPr>
              <w:t>mwscott@oxford.gov.uk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93067A" w:rsidP="00F41AC1"/>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DE" w:rsidRDefault="00C33EDE" w:rsidP="004A6D2F">
      <w:r>
        <w:separator/>
      </w:r>
    </w:p>
  </w:endnote>
  <w:endnote w:type="continuationSeparator" w:id="0">
    <w:p w:rsidR="00C33EDE" w:rsidRDefault="00C33ED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4D" w:rsidRDefault="0027774D" w:rsidP="004A6D2F">
    <w:pPr>
      <w:pStyle w:val="Footer"/>
    </w:pPr>
    <w:r>
      <w:t>Do not use a footer or page numbers.</w:t>
    </w:r>
  </w:p>
  <w:p w:rsidR="0027774D" w:rsidRDefault="0027774D" w:rsidP="004A6D2F">
    <w:pPr>
      <w:pStyle w:val="Footer"/>
    </w:pPr>
  </w:p>
  <w:p w:rsidR="0027774D" w:rsidRDefault="0027774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4D" w:rsidRDefault="0027774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DE" w:rsidRDefault="00C33EDE" w:rsidP="004A6D2F">
      <w:r>
        <w:separator/>
      </w:r>
    </w:p>
  </w:footnote>
  <w:footnote w:type="continuationSeparator" w:id="0">
    <w:p w:rsidR="00C33EDE" w:rsidRDefault="00C33ED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4D" w:rsidRDefault="00342C47" w:rsidP="00D5547E">
    <w:pPr>
      <w:pStyle w:val="Header"/>
      <w:jc w:val="right"/>
    </w:pPr>
    <w:r>
      <w:rPr>
        <w:noProof/>
      </w:rPr>
      <w:drawing>
        <wp:inline distT="0" distB="0" distL="0" distR="0">
          <wp:extent cx="838835" cy="1115695"/>
          <wp:effectExtent l="0" t="0" r="0" b="825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1115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8265D5"/>
    <w:multiLevelType w:val="multilevel"/>
    <w:tmpl w:val="BE30D9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3156F56"/>
    <w:multiLevelType w:val="multilevel"/>
    <w:tmpl w:val="FEA6E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8F51B8"/>
    <w:multiLevelType w:val="hybridMultilevel"/>
    <w:tmpl w:val="D9E0F228"/>
    <w:lvl w:ilvl="0" w:tplc="40FA32C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870737"/>
    <w:multiLevelType w:val="multilevel"/>
    <w:tmpl w:val="D982FEC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ACB41C0"/>
    <w:multiLevelType w:val="multilevel"/>
    <w:tmpl w:val="0D8E727A"/>
    <w:lvl w:ilvl="0">
      <w:start w:val="1"/>
      <w:numFmt w:val="decimal"/>
      <w:lvlText w:val="%1."/>
      <w:lvlJc w:val="left"/>
      <w:pPr>
        <w:tabs>
          <w:tab w:val="num" w:pos="936"/>
        </w:tabs>
        <w:ind w:left="936" w:hanging="360"/>
      </w:pPr>
    </w:lvl>
    <w:lvl w:ilvl="1">
      <w:start w:val="12"/>
      <w:numFmt w:val="decimal"/>
      <w:isLgl/>
      <w:lvlText w:val="%1.%2"/>
      <w:lvlJc w:val="left"/>
      <w:pPr>
        <w:tabs>
          <w:tab w:val="num" w:pos="1176"/>
        </w:tabs>
        <w:ind w:left="1176" w:hanging="60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656"/>
        </w:tabs>
        <w:ind w:left="1656" w:hanging="1080"/>
      </w:pPr>
      <w:rPr>
        <w:rFonts w:cs="Times New Roman" w:hint="default"/>
      </w:rPr>
    </w:lvl>
    <w:lvl w:ilvl="4">
      <w:start w:val="1"/>
      <w:numFmt w:val="decimal"/>
      <w:isLgl/>
      <w:lvlText w:val="%1.%2.%3.%4.%5"/>
      <w:lvlJc w:val="left"/>
      <w:pPr>
        <w:tabs>
          <w:tab w:val="num" w:pos="1656"/>
        </w:tabs>
        <w:ind w:left="1656" w:hanging="1080"/>
      </w:pPr>
      <w:rPr>
        <w:rFonts w:cs="Times New Roman" w:hint="default"/>
      </w:rPr>
    </w:lvl>
    <w:lvl w:ilvl="5">
      <w:start w:val="1"/>
      <w:numFmt w:val="decimal"/>
      <w:isLgl/>
      <w:lvlText w:val="%1.%2.%3.%4.%5.%6"/>
      <w:lvlJc w:val="left"/>
      <w:pPr>
        <w:tabs>
          <w:tab w:val="num" w:pos="2016"/>
        </w:tabs>
        <w:ind w:left="2016" w:hanging="1440"/>
      </w:pPr>
      <w:rPr>
        <w:rFonts w:cs="Times New Roman" w:hint="default"/>
      </w:rPr>
    </w:lvl>
    <w:lvl w:ilvl="6">
      <w:start w:val="1"/>
      <w:numFmt w:val="decimal"/>
      <w:isLgl/>
      <w:lvlText w:val="%1.%2.%3.%4.%5.%6.%7"/>
      <w:lvlJc w:val="left"/>
      <w:pPr>
        <w:tabs>
          <w:tab w:val="num" w:pos="2016"/>
        </w:tabs>
        <w:ind w:left="2016" w:hanging="1440"/>
      </w:pPr>
      <w:rPr>
        <w:rFonts w:cs="Times New Roman" w:hint="default"/>
      </w:rPr>
    </w:lvl>
    <w:lvl w:ilvl="7">
      <w:start w:val="1"/>
      <w:numFmt w:val="decimal"/>
      <w:isLgl/>
      <w:lvlText w:val="%1.%2.%3.%4.%5.%6.%7.%8"/>
      <w:lvlJc w:val="left"/>
      <w:pPr>
        <w:tabs>
          <w:tab w:val="num" w:pos="2376"/>
        </w:tabs>
        <w:ind w:left="2376" w:hanging="1800"/>
      </w:pPr>
      <w:rPr>
        <w:rFonts w:cs="Times New Roman" w:hint="default"/>
      </w:rPr>
    </w:lvl>
    <w:lvl w:ilvl="8">
      <w:start w:val="1"/>
      <w:numFmt w:val="decimal"/>
      <w:isLgl/>
      <w:lvlText w:val="%1.%2.%3.%4.%5.%6.%7.%8.%9"/>
      <w:lvlJc w:val="left"/>
      <w:pPr>
        <w:tabs>
          <w:tab w:val="num" w:pos="2376"/>
        </w:tabs>
        <w:ind w:left="2376" w:hanging="1800"/>
      </w:pPr>
      <w:rPr>
        <w:rFonts w:cs="Times New Roman"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A82083"/>
    <w:multiLevelType w:val="multilevel"/>
    <w:tmpl w:val="FEA6E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B855F6F"/>
    <w:multiLevelType w:val="multilevel"/>
    <w:tmpl w:val="0376129C"/>
    <w:lvl w:ilvl="0">
      <w:start w:val="5"/>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6AC5535"/>
    <w:multiLevelType w:val="hybridMultilevel"/>
    <w:tmpl w:val="17BAC22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58253C15"/>
    <w:multiLevelType w:val="hybridMultilevel"/>
    <w:tmpl w:val="55505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938031B"/>
    <w:multiLevelType w:val="hybridMultilevel"/>
    <w:tmpl w:val="0B2847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3B6667"/>
    <w:multiLevelType w:val="hybridMultilevel"/>
    <w:tmpl w:val="71FC3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A22831"/>
    <w:multiLevelType w:val="multilevel"/>
    <w:tmpl w:val="43D6D2FA"/>
    <w:numStyleLink w:val="StyleBulletedSymbolsymbolLeft063cmHanging063cm"/>
  </w:abstractNum>
  <w:abstractNum w:abstractNumId="40">
    <w:nsid w:val="65FD610A"/>
    <w:multiLevelType w:val="hybridMultilevel"/>
    <w:tmpl w:val="E286EE2C"/>
    <w:lvl w:ilvl="0" w:tplc="04101176">
      <w:start w:val="1"/>
      <w:numFmt w:val="bullet"/>
      <w:lvlText w:val="•"/>
      <w:lvlJc w:val="left"/>
      <w:pPr>
        <w:tabs>
          <w:tab w:val="num" w:pos="720"/>
        </w:tabs>
        <w:ind w:left="720" w:hanging="360"/>
      </w:pPr>
      <w:rPr>
        <w:rFonts w:ascii="Arial" w:hAnsi="Arial" w:hint="default"/>
      </w:rPr>
    </w:lvl>
    <w:lvl w:ilvl="1" w:tplc="B9B4D6AA">
      <w:start w:val="1"/>
      <w:numFmt w:val="bullet"/>
      <w:lvlText w:val="•"/>
      <w:lvlJc w:val="left"/>
      <w:pPr>
        <w:tabs>
          <w:tab w:val="num" w:pos="1440"/>
        </w:tabs>
        <w:ind w:left="1440" w:hanging="360"/>
      </w:pPr>
      <w:rPr>
        <w:rFonts w:ascii="Arial" w:hAnsi="Arial" w:hint="default"/>
        <w:sz w:val="32"/>
        <w:szCs w:val="32"/>
      </w:rPr>
    </w:lvl>
    <w:lvl w:ilvl="2" w:tplc="B66853FC">
      <w:start w:val="1"/>
      <w:numFmt w:val="bullet"/>
      <w:lvlText w:val="•"/>
      <w:lvlJc w:val="left"/>
      <w:pPr>
        <w:tabs>
          <w:tab w:val="num" w:pos="2160"/>
        </w:tabs>
        <w:ind w:left="2160" w:hanging="360"/>
      </w:pPr>
      <w:rPr>
        <w:rFonts w:ascii="Arial" w:hAnsi="Arial" w:hint="default"/>
      </w:rPr>
    </w:lvl>
    <w:lvl w:ilvl="3" w:tplc="7DC2E382" w:tentative="1">
      <w:start w:val="1"/>
      <w:numFmt w:val="bullet"/>
      <w:lvlText w:val="•"/>
      <w:lvlJc w:val="left"/>
      <w:pPr>
        <w:tabs>
          <w:tab w:val="num" w:pos="2880"/>
        </w:tabs>
        <w:ind w:left="2880" w:hanging="360"/>
      </w:pPr>
      <w:rPr>
        <w:rFonts w:ascii="Arial" w:hAnsi="Arial" w:hint="default"/>
      </w:rPr>
    </w:lvl>
    <w:lvl w:ilvl="4" w:tplc="7AFC7540" w:tentative="1">
      <w:start w:val="1"/>
      <w:numFmt w:val="bullet"/>
      <w:lvlText w:val="•"/>
      <w:lvlJc w:val="left"/>
      <w:pPr>
        <w:tabs>
          <w:tab w:val="num" w:pos="3600"/>
        </w:tabs>
        <w:ind w:left="3600" w:hanging="360"/>
      </w:pPr>
      <w:rPr>
        <w:rFonts w:ascii="Arial" w:hAnsi="Arial" w:hint="default"/>
      </w:rPr>
    </w:lvl>
    <w:lvl w:ilvl="5" w:tplc="B9800EC6" w:tentative="1">
      <w:start w:val="1"/>
      <w:numFmt w:val="bullet"/>
      <w:lvlText w:val="•"/>
      <w:lvlJc w:val="left"/>
      <w:pPr>
        <w:tabs>
          <w:tab w:val="num" w:pos="4320"/>
        </w:tabs>
        <w:ind w:left="4320" w:hanging="360"/>
      </w:pPr>
      <w:rPr>
        <w:rFonts w:ascii="Arial" w:hAnsi="Arial" w:hint="default"/>
      </w:rPr>
    </w:lvl>
    <w:lvl w:ilvl="6" w:tplc="376A4A04" w:tentative="1">
      <w:start w:val="1"/>
      <w:numFmt w:val="bullet"/>
      <w:lvlText w:val="•"/>
      <w:lvlJc w:val="left"/>
      <w:pPr>
        <w:tabs>
          <w:tab w:val="num" w:pos="5040"/>
        </w:tabs>
        <w:ind w:left="5040" w:hanging="360"/>
      </w:pPr>
      <w:rPr>
        <w:rFonts w:ascii="Arial" w:hAnsi="Arial" w:hint="default"/>
      </w:rPr>
    </w:lvl>
    <w:lvl w:ilvl="7" w:tplc="FF54F84E" w:tentative="1">
      <w:start w:val="1"/>
      <w:numFmt w:val="bullet"/>
      <w:lvlText w:val="•"/>
      <w:lvlJc w:val="left"/>
      <w:pPr>
        <w:tabs>
          <w:tab w:val="num" w:pos="5760"/>
        </w:tabs>
        <w:ind w:left="5760" w:hanging="360"/>
      </w:pPr>
      <w:rPr>
        <w:rFonts w:ascii="Arial" w:hAnsi="Arial" w:hint="default"/>
      </w:rPr>
    </w:lvl>
    <w:lvl w:ilvl="8" w:tplc="7B725D3E" w:tentative="1">
      <w:start w:val="1"/>
      <w:numFmt w:val="bullet"/>
      <w:lvlText w:val="•"/>
      <w:lvlJc w:val="left"/>
      <w:pPr>
        <w:tabs>
          <w:tab w:val="num" w:pos="6480"/>
        </w:tabs>
        <w:ind w:left="6480" w:hanging="360"/>
      </w:pPr>
      <w:rPr>
        <w:rFonts w:ascii="Arial" w:hAnsi="Arial" w:hint="default"/>
      </w:rPr>
    </w:lvl>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8365C6"/>
    <w:multiLevelType w:val="multilevel"/>
    <w:tmpl w:val="E67CE66C"/>
    <w:numStyleLink w:val="StyleNumberedLeft0cmHanging075cm"/>
  </w:abstractNum>
  <w:num w:numId="1">
    <w:abstractNumId w:val="32"/>
  </w:num>
  <w:num w:numId="2">
    <w:abstractNumId w:val="42"/>
  </w:num>
  <w:num w:numId="3">
    <w:abstractNumId w:val="27"/>
  </w:num>
  <w:num w:numId="4">
    <w:abstractNumId w:val="21"/>
  </w:num>
  <w:num w:numId="5">
    <w:abstractNumId w:val="37"/>
  </w:num>
  <w:num w:numId="6">
    <w:abstractNumId w:val="43"/>
  </w:num>
  <w:num w:numId="7">
    <w:abstractNumId w:val="26"/>
  </w:num>
  <w:num w:numId="8">
    <w:abstractNumId w:val="24"/>
  </w:num>
  <w:num w:numId="9">
    <w:abstractNumId w:val="15"/>
  </w:num>
  <w:num w:numId="10">
    <w:abstractNumId w:val="17"/>
  </w:num>
  <w:num w:numId="11">
    <w:abstractNumId w:val="31"/>
  </w:num>
  <w:num w:numId="12">
    <w:abstractNumId w:val="28"/>
  </w:num>
  <w:num w:numId="13">
    <w:abstractNumId w:val="12"/>
  </w:num>
  <w:num w:numId="14">
    <w:abstractNumId w:val="44"/>
  </w:num>
  <w:num w:numId="15">
    <w:abstractNumId w:val="19"/>
  </w:num>
  <w:num w:numId="16">
    <w:abstractNumId w:val="13"/>
  </w:num>
  <w:num w:numId="17">
    <w:abstractNumId w:val="36"/>
  </w:num>
  <w:num w:numId="18">
    <w:abstractNumId w:val="14"/>
  </w:num>
  <w:num w:numId="19">
    <w:abstractNumId w:val="39"/>
  </w:num>
  <w:num w:numId="20">
    <w:abstractNumId w:val="20"/>
  </w:num>
  <w:num w:numId="21">
    <w:abstractNumId w:val="25"/>
  </w:num>
  <w:num w:numId="22">
    <w:abstractNumId w:val="16"/>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18"/>
  </w:num>
  <w:num w:numId="36">
    <w:abstractNumId w:val="30"/>
  </w:num>
  <w:num w:numId="37">
    <w:abstractNumId w:val="35"/>
  </w:num>
  <w:num w:numId="38">
    <w:abstractNumId w:val="10"/>
  </w:num>
  <w:num w:numId="39">
    <w:abstractNumId w:val="33"/>
  </w:num>
  <w:num w:numId="40">
    <w:abstractNumId w:val="40"/>
  </w:num>
  <w:num w:numId="41">
    <w:abstractNumId w:val="38"/>
  </w:num>
  <w:num w:numId="42">
    <w:abstractNumId w:val="29"/>
  </w:num>
  <w:num w:numId="43">
    <w:abstractNumId w:val="11"/>
  </w:num>
  <w:num w:numId="44">
    <w:abstractNumId w:val="22"/>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DD"/>
    <w:rsid w:val="000117D4"/>
    <w:rsid w:val="000314D7"/>
    <w:rsid w:val="00045F8B"/>
    <w:rsid w:val="00046D2B"/>
    <w:rsid w:val="00055032"/>
    <w:rsid w:val="00056263"/>
    <w:rsid w:val="00064D8A"/>
    <w:rsid w:val="00064F82"/>
    <w:rsid w:val="00066510"/>
    <w:rsid w:val="00077523"/>
    <w:rsid w:val="00093167"/>
    <w:rsid w:val="000C089F"/>
    <w:rsid w:val="000C3928"/>
    <w:rsid w:val="000C5E8E"/>
    <w:rsid w:val="000D5725"/>
    <w:rsid w:val="000F3868"/>
    <w:rsid w:val="000F4751"/>
    <w:rsid w:val="0010524C"/>
    <w:rsid w:val="00111FB1"/>
    <w:rsid w:val="00113418"/>
    <w:rsid w:val="001312A0"/>
    <w:rsid w:val="001356F1"/>
    <w:rsid w:val="00136994"/>
    <w:rsid w:val="00136FCC"/>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3288"/>
    <w:rsid w:val="002069B3"/>
    <w:rsid w:val="002329CF"/>
    <w:rsid w:val="00232F5B"/>
    <w:rsid w:val="00243C81"/>
    <w:rsid w:val="00247C29"/>
    <w:rsid w:val="00260467"/>
    <w:rsid w:val="00263EA3"/>
    <w:rsid w:val="0027774D"/>
    <w:rsid w:val="00283B9C"/>
    <w:rsid w:val="00284F85"/>
    <w:rsid w:val="00290915"/>
    <w:rsid w:val="002A1864"/>
    <w:rsid w:val="002A22E2"/>
    <w:rsid w:val="002C64F7"/>
    <w:rsid w:val="002F41F2"/>
    <w:rsid w:val="00301BF3"/>
    <w:rsid w:val="0030208D"/>
    <w:rsid w:val="00323418"/>
    <w:rsid w:val="003357BF"/>
    <w:rsid w:val="00342C47"/>
    <w:rsid w:val="0036060D"/>
    <w:rsid w:val="00364FAD"/>
    <w:rsid w:val="0036738F"/>
    <w:rsid w:val="0036759C"/>
    <w:rsid w:val="00367AE5"/>
    <w:rsid w:val="00367D71"/>
    <w:rsid w:val="0037064E"/>
    <w:rsid w:val="0038150A"/>
    <w:rsid w:val="003B5DA8"/>
    <w:rsid w:val="003B6E75"/>
    <w:rsid w:val="003B7DA1"/>
    <w:rsid w:val="003D0379"/>
    <w:rsid w:val="003D2574"/>
    <w:rsid w:val="003D27E2"/>
    <w:rsid w:val="003D4C59"/>
    <w:rsid w:val="003F4267"/>
    <w:rsid w:val="00404032"/>
    <w:rsid w:val="0040736F"/>
    <w:rsid w:val="00412C1F"/>
    <w:rsid w:val="00414D95"/>
    <w:rsid w:val="00421CB2"/>
    <w:rsid w:val="004268B9"/>
    <w:rsid w:val="00433B96"/>
    <w:rsid w:val="004440F1"/>
    <w:rsid w:val="004456DD"/>
    <w:rsid w:val="00446CDF"/>
    <w:rsid w:val="004521B7"/>
    <w:rsid w:val="0045509D"/>
    <w:rsid w:val="004560C4"/>
    <w:rsid w:val="00462AB5"/>
    <w:rsid w:val="00465D1B"/>
    <w:rsid w:val="00465EAF"/>
    <w:rsid w:val="004738C5"/>
    <w:rsid w:val="00491046"/>
    <w:rsid w:val="004A2AC7"/>
    <w:rsid w:val="004A6D2F"/>
    <w:rsid w:val="004B66F8"/>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0BD6"/>
    <w:rsid w:val="00614693"/>
    <w:rsid w:val="00623C2F"/>
    <w:rsid w:val="00633578"/>
    <w:rsid w:val="00637068"/>
    <w:rsid w:val="00642772"/>
    <w:rsid w:val="00650811"/>
    <w:rsid w:val="00661D3E"/>
    <w:rsid w:val="00690CB9"/>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4303"/>
    <w:rsid w:val="00715823"/>
    <w:rsid w:val="007202B5"/>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45AF7"/>
    <w:rsid w:val="00855C66"/>
    <w:rsid w:val="0086188A"/>
    <w:rsid w:val="00870FC1"/>
    <w:rsid w:val="00871EE4"/>
    <w:rsid w:val="008932DD"/>
    <w:rsid w:val="008B293F"/>
    <w:rsid w:val="008B7371"/>
    <w:rsid w:val="008D3DDB"/>
    <w:rsid w:val="008F573F"/>
    <w:rsid w:val="009009AA"/>
    <w:rsid w:val="009034EC"/>
    <w:rsid w:val="0093067A"/>
    <w:rsid w:val="00932D30"/>
    <w:rsid w:val="00941C60"/>
    <w:rsid w:val="00947BC8"/>
    <w:rsid w:val="00950BD8"/>
    <w:rsid w:val="00954182"/>
    <w:rsid w:val="00966D42"/>
    <w:rsid w:val="00971689"/>
    <w:rsid w:val="00973E90"/>
    <w:rsid w:val="00975B07"/>
    <w:rsid w:val="00980B4A"/>
    <w:rsid w:val="009B14B0"/>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C049F"/>
    <w:rsid w:val="00AD3292"/>
    <w:rsid w:val="00AE7AF0"/>
    <w:rsid w:val="00B036B5"/>
    <w:rsid w:val="00B500CA"/>
    <w:rsid w:val="00B86314"/>
    <w:rsid w:val="00BA1C2E"/>
    <w:rsid w:val="00BC200B"/>
    <w:rsid w:val="00BC4756"/>
    <w:rsid w:val="00BC69A4"/>
    <w:rsid w:val="00BE0680"/>
    <w:rsid w:val="00BE305F"/>
    <w:rsid w:val="00BE7BA3"/>
    <w:rsid w:val="00BF5682"/>
    <w:rsid w:val="00BF7B09"/>
    <w:rsid w:val="00C20A95"/>
    <w:rsid w:val="00C2692F"/>
    <w:rsid w:val="00C303A0"/>
    <w:rsid w:val="00C3207C"/>
    <w:rsid w:val="00C33EDE"/>
    <w:rsid w:val="00C400E1"/>
    <w:rsid w:val="00C41187"/>
    <w:rsid w:val="00C63C31"/>
    <w:rsid w:val="00C757A0"/>
    <w:rsid w:val="00C760DE"/>
    <w:rsid w:val="00C81459"/>
    <w:rsid w:val="00C82630"/>
    <w:rsid w:val="00C85B4E"/>
    <w:rsid w:val="00C907F7"/>
    <w:rsid w:val="00CA2103"/>
    <w:rsid w:val="00CB6B99"/>
    <w:rsid w:val="00CD7069"/>
    <w:rsid w:val="00CE3346"/>
    <w:rsid w:val="00CE4C87"/>
    <w:rsid w:val="00CE544A"/>
    <w:rsid w:val="00D11E1C"/>
    <w:rsid w:val="00D14F38"/>
    <w:rsid w:val="00D160B0"/>
    <w:rsid w:val="00D17F94"/>
    <w:rsid w:val="00D223FC"/>
    <w:rsid w:val="00D233C8"/>
    <w:rsid w:val="00D26D1E"/>
    <w:rsid w:val="00D36262"/>
    <w:rsid w:val="00D3715D"/>
    <w:rsid w:val="00D42C11"/>
    <w:rsid w:val="00D474CF"/>
    <w:rsid w:val="00D50956"/>
    <w:rsid w:val="00D5547E"/>
    <w:rsid w:val="00D73680"/>
    <w:rsid w:val="00D869A1"/>
    <w:rsid w:val="00DA413F"/>
    <w:rsid w:val="00DA4584"/>
    <w:rsid w:val="00DA614B"/>
    <w:rsid w:val="00DC3060"/>
    <w:rsid w:val="00DE0FB2"/>
    <w:rsid w:val="00DF093E"/>
    <w:rsid w:val="00E01F42"/>
    <w:rsid w:val="00E139D9"/>
    <w:rsid w:val="00E206D6"/>
    <w:rsid w:val="00E276C8"/>
    <w:rsid w:val="00E3366E"/>
    <w:rsid w:val="00E50DBE"/>
    <w:rsid w:val="00E52086"/>
    <w:rsid w:val="00E543A6"/>
    <w:rsid w:val="00E60479"/>
    <w:rsid w:val="00E60C36"/>
    <w:rsid w:val="00E61D73"/>
    <w:rsid w:val="00E73684"/>
    <w:rsid w:val="00E818D6"/>
    <w:rsid w:val="00E87F7A"/>
    <w:rsid w:val="00E96BD7"/>
    <w:rsid w:val="00EA0DB1"/>
    <w:rsid w:val="00EA0EE9"/>
    <w:rsid w:val="00EB2148"/>
    <w:rsid w:val="00ED52CA"/>
    <w:rsid w:val="00ED5860"/>
    <w:rsid w:val="00EE1570"/>
    <w:rsid w:val="00EE35C9"/>
    <w:rsid w:val="00EF6FA4"/>
    <w:rsid w:val="00F05ECA"/>
    <w:rsid w:val="00F3566E"/>
    <w:rsid w:val="00F375FB"/>
    <w:rsid w:val="00F41AC1"/>
    <w:rsid w:val="00F4367A"/>
    <w:rsid w:val="00F445B1"/>
    <w:rsid w:val="00F45CD4"/>
    <w:rsid w:val="00F634E0"/>
    <w:rsid w:val="00F66DCA"/>
    <w:rsid w:val="00F74F53"/>
    <w:rsid w:val="00F7606D"/>
    <w:rsid w:val="00F81670"/>
    <w:rsid w:val="00F82024"/>
    <w:rsid w:val="00F9325D"/>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1152131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18F6-846B-433A-915B-F34CBAEA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2F196311</Template>
  <TotalTime>2</TotalTime>
  <Pages>4</Pages>
  <Words>919</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Jackie.Yates</dc:creator>
  <cp:lastModifiedBy>catherine.phythian</cp:lastModifiedBy>
  <cp:revision>4</cp:revision>
  <cp:lastPrinted>2015-07-03T13:50:00Z</cp:lastPrinted>
  <dcterms:created xsi:type="dcterms:W3CDTF">2016-02-23T09:57:00Z</dcterms:created>
  <dcterms:modified xsi:type="dcterms:W3CDTF">2016-02-26T11:09:00Z</dcterms:modified>
</cp:coreProperties>
</file>